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35" w:rsidRDefault="009E4D35" w:rsidP="0009387C">
      <w:bookmarkStart w:id="0" w:name="_GoBack"/>
      <w:bookmarkEnd w:id="0"/>
    </w:p>
    <w:tbl>
      <w:tblPr>
        <w:tblW w:w="0" w:type="auto"/>
        <w:tblInd w:w="9" w:type="dxa"/>
        <w:tblLook w:val="0000" w:firstRow="0" w:lastRow="0" w:firstColumn="0" w:lastColumn="0" w:noHBand="0" w:noVBand="0"/>
      </w:tblPr>
      <w:tblGrid>
        <w:gridCol w:w="9180"/>
      </w:tblGrid>
      <w:tr w:rsidR="009E4D35" w:rsidRPr="00D011C4" w:rsidTr="002B245B">
        <w:trPr>
          <w:trHeight w:hRule="exact" w:val="851"/>
        </w:trPr>
        <w:tc>
          <w:tcPr>
            <w:tcW w:w="9180" w:type="dxa"/>
          </w:tcPr>
          <w:p w:rsidR="009E4D35" w:rsidRPr="00D011C4" w:rsidRDefault="009E4D35" w:rsidP="0009387C">
            <w:pPr>
              <w:pStyle w:val="AgreementHeading"/>
              <w:jc w:val="both"/>
              <w:rPr>
                <w:rFonts w:cs="Arial"/>
                <w:u w:val="none"/>
              </w:rPr>
            </w:pPr>
          </w:p>
        </w:tc>
      </w:tr>
      <w:tr w:rsidR="009E4D35" w:rsidRPr="0009387C" w:rsidTr="00FA719A">
        <w:trPr>
          <w:trHeight w:hRule="exact" w:val="2385"/>
        </w:trPr>
        <w:tc>
          <w:tcPr>
            <w:tcW w:w="9180" w:type="dxa"/>
          </w:tcPr>
          <w:p w:rsidR="009E4D35" w:rsidRPr="0009387C" w:rsidRDefault="009E4D35" w:rsidP="0009387C">
            <w:pPr>
              <w:pStyle w:val="AgreementHeading"/>
              <w:jc w:val="both"/>
              <w:rPr>
                <w:rFonts w:cs="Arial"/>
                <w:u w:val="none"/>
              </w:rPr>
            </w:pPr>
            <w:bookmarkStart w:id="1" w:name="cParties"/>
            <w:bookmarkEnd w:id="1"/>
            <w:r w:rsidRPr="0009387C">
              <w:rPr>
                <w:rFonts w:cs="Arial"/>
                <w:u w:val="none"/>
              </w:rPr>
              <w:t>THIS DOCUMENT IS IMPORTANT AND REQUIRES YOUR IMMEDIATE ATTENTION.  IF YOU DO NOT UNDERSTAND IT YOU SHOULD CONSULT YOUR STOCKBROKER, ACCOUNTANT, SOLICITOR, BANK MANAGER OR PROFESSIONAL FINANCIAL ADVISER AUTHORISED UNDER THE FINANCIAL SERVICES AND MARKETS ACT 2000</w:t>
            </w:r>
          </w:p>
          <w:p w:rsidR="009E4D35" w:rsidRPr="0009387C" w:rsidRDefault="009E4D35" w:rsidP="0009387C">
            <w:pPr>
              <w:rPr>
                <w:rFonts w:cs="Arial"/>
              </w:rPr>
            </w:pPr>
          </w:p>
        </w:tc>
      </w:tr>
      <w:tr w:rsidR="009E4D35" w:rsidRPr="0009387C" w:rsidTr="00FE0822">
        <w:trPr>
          <w:trHeight w:hRule="exact" w:val="9240"/>
        </w:trPr>
        <w:tc>
          <w:tcPr>
            <w:tcW w:w="9180" w:type="dxa"/>
          </w:tcPr>
          <w:p w:rsidR="009E4D35" w:rsidRPr="0009387C" w:rsidRDefault="009E4D35" w:rsidP="0009387C">
            <w:pPr>
              <w:pStyle w:val="MainHeadingCentered"/>
              <w:rPr>
                <w:rFonts w:cs="Arial"/>
              </w:rPr>
            </w:pPr>
            <w:bookmarkStart w:id="2" w:name="cTitle"/>
            <w:bookmarkEnd w:id="2"/>
            <w:r w:rsidRPr="0009387C">
              <w:rPr>
                <w:rFonts w:cs="Arial"/>
              </w:rPr>
              <w:t>PROPOSAL for A</w:t>
            </w:r>
          </w:p>
          <w:p w:rsidR="009E4D35" w:rsidRPr="0009387C" w:rsidRDefault="009E4D35" w:rsidP="0009387C">
            <w:pPr>
              <w:pStyle w:val="MainHeadingCentered"/>
              <w:rPr>
                <w:rFonts w:cs="Arial"/>
              </w:rPr>
            </w:pPr>
            <w:r w:rsidRPr="0009387C">
              <w:rPr>
                <w:rFonts w:cs="Arial"/>
              </w:rPr>
              <w:t>scheme of arrangement</w:t>
            </w:r>
          </w:p>
          <w:p w:rsidR="009E4D35" w:rsidRPr="0009387C" w:rsidRDefault="009E4D35" w:rsidP="0009387C">
            <w:pPr>
              <w:pStyle w:val="AgreementDescription"/>
              <w:rPr>
                <w:rFonts w:cs="Arial"/>
              </w:rPr>
            </w:pPr>
            <w:r w:rsidRPr="0009387C">
              <w:rPr>
                <w:rFonts w:cs="Arial"/>
              </w:rPr>
              <w:t xml:space="preserve">in relation to </w:t>
            </w:r>
          </w:p>
          <w:p w:rsidR="009E4D35" w:rsidRPr="0009387C" w:rsidRDefault="009E4D35" w:rsidP="0009387C">
            <w:pPr>
              <w:jc w:val="center"/>
              <w:rPr>
                <w:rFonts w:cs="Arial"/>
                <w:b/>
                <w:sz w:val="22"/>
                <w:szCs w:val="22"/>
              </w:rPr>
            </w:pPr>
            <w:r w:rsidRPr="0009387C">
              <w:rPr>
                <w:rFonts w:cs="Arial"/>
                <w:b/>
                <w:sz w:val="22"/>
                <w:szCs w:val="22"/>
              </w:rPr>
              <w:t xml:space="preserve">OLD MUTUAL </w:t>
            </w:r>
            <w:r w:rsidR="0071141B">
              <w:rPr>
                <w:rFonts w:cs="Arial"/>
                <w:b/>
                <w:sz w:val="22"/>
                <w:szCs w:val="22"/>
              </w:rPr>
              <w:t>PROPERTY</w:t>
            </w:r>
            <w:r w:rsidRPr="0009387C">
              <w:rPr>
                <w:rFonts w:cs="Arial"/>
                <w:b/>
                <w:sz w:val="22"/>
                <w:szCs w:val="22"/>
              </w:rPr>
              <w:t xml:space="preserve"> FUND</w:t>
            </w:r>
          </w:p>
          <w:p w:rsidR="009E4D35" w:rsidRPr="0009387C" w:rsidRDefault="009E4D35" w:rsidP="0009387C">
            <w:pPr>
              <w:jc w:val="center"/>
              <w:rPr>
                <w:rFonts w:cs="Arial"/>
                <w:b/>
              </w:rPr>
            </w:pPr>
            <w:r w:rsidRPr="0009387C">
              <w:rPr>
                <w:rFonts w:cs="Arial"/>
                <w:b/>
              </w:rPr>
              <w:t>(an authorised unit trust scheme)</w:t>
            </w:r>
          </w:p>
          <w:p w:rsidR="009E4D35" w:rsidRPr="0009387C" w:rsidRDefault="009E4D35" w:rsidP="0009387C">
            <w:pPr>
              <w:jc w:val="center"/>
              <w:rPr>
                <w:rFonts w:cs="Arial"/>
                <w:b/>
                <w:sz w:val="22"/>
                <w:szCs w:val="22"/>
              </w:rPr>
            </w:pPr>
            <w:r w:rsidRPr="0009387C">
              <w:rPr>
                <w:rFonts w:cs="Arial"/>
                <w:b/>
                <w:sz w:val="22"/>
                <w:szCs w:val="22"/>
              </w:rPr>
              <w:t xml:space="preserve">with </w:t>
            </w:r>
          </w:p>
          <w:p w:rsidR="009E4D35" w:rsidRPr="0009387C" w:rsidRDefault="008825C6" w:rsidP="0009387C">
            <w:pPr>
              <w:pStyle w:val="MainHeading"/>
              <w:jc w:val="center"/>
              <w:rPr>
                <w:rFonts w:cs="Arial"/>
              </w:rPr>
            </w:pPr>
            <w:r>
              <w:rPr>
                <w:rFonts w:cs="Arial"/>
              </w:rPr>
              <w:t xml:space="preserve">HENDERSON UK PROPERTY </w:t>
            </w:r>
            <w:r w:rsidR="0071141B">
              <w:rPr>
                <w:rFonts w:cs="Arial"/>
              </w:rPr>
              <w:t>OEIC</w:t>
            </w:r>
          </w:p>
          <w:p w:rsidR="009E4D35" w:rsidRPr="0009387C" w:rsidRDefault="00135EF3" w:rsidP="005D3A5E">
            <w:pPr>
              <w:jc w:val="center"/>
              <w:rPr>
                <w:rFonts w:cs="Arial"/>
                <w:b/>
              </w:rPr>
            </w:pPr>
            <w:r>
              <w:rPr>
                <w:rFonts w:cs="Arial"/>
                <w:b/>
              </w:rPr>
              <w:t>(a</w:t>
            </w:r>
            <w:r w:rsidR="005D3A5E">
              <w:rPr>
                <w:rFonts w:cs="Arial"/>
                <w:b/>
              </w:rPr>
              <w:t xml:space="preserve"> stand alone</w:t>
            </w:r>
            <w:r>
              <w:rPr>
                <w:rFonts w:cs="Arial"/>
                <w:b/>
              </w:rPr>
              <w:t xml:space="preserve"> open-ended investment company</w:t>
            </w:r>
            <w:r w:rsidR="009E4D35" w:rsidRPr="0009387C">
              <w:rPr>
                <w:rFonts w:cs="Arial"/>
                <w:b/>
              </w:rPr>
              <w:t>)</w:t>
            </w:r>
          </w:p>
          <w:p w:rsidR="009E4D35" w:rsidRPr="0009387C" w:rsidRDefault="009E4D35" w:rsidP="0009387C">
            <w:pPr>
              <w:rPr>
                <w:rFonts w:cs="Arial"/>
              </w:rPr>
            </w:pPr>
          </w:p>
          <w:p w:rsidR="009E4D35" w:rsidRPr="0009387C" w:rsidRDefault="009E4D35" w:rsidP="0009387C">
            <w:pPr>
              <w:rPr>
                <w:rFonts w:cs="Arial"/>
              </w:rPr>
            </w:pPr>
          </w:p>
          <w:p w:rsidR="005B6075" w:rsidRPr="005B6075" w:rsidRDefault="005B6075" w:rsidP="005B6075">
            <w:pPr>
              <w:rPr>
                <w:rFonts w:cs="Arial"/>
              </w:rPr>
            </w:pPr>
            <w:r w:rsidRPr="005B6075">
              <w:rPr>
                <w:rFonts w:cs="Arial"/>
              </w:rPr>
              <w:t xml:space="preserve">Notice of an Extraordinary General Meeting of the </w:t>
            </w:r>
            <w:r>
              <w:rPr>
                <w:rFonts w:cs="Arial"/>
              </w:rPr>
              <w:t>Unit</w:t>
            </w:r>
            <w:r w:rsidRPr="005B6075">
              <w:rPr>
                <w:rFonts w:cs="Arial"/>
              </w:rPr>
              <w:t xml:space="preserve">holders in </w:t>
            </w:r>
            <w:r>
              <w:rPr>
                <w:rFonts w:cs="Arial"/>
              </w:rPr>
              <w:t>Old Mutual Property Fund</w:t>
            </w:r>
            <w:r w:rsidRPr="005B6075">
              <w:rPr>
                <w:rFonts w:cs="Arial"/>
              </w:rPr>
              <w:t xml:space="preserve"> to be held at </w:t>
            </w:r>
            <w:r>
              <w:rPr>
                <w:rFonts w:cs="Arial"/>
              </w:rPr>
              <w:t>Old Mutual Investment Management Limited</w:t>
            </w:r>
            <w:r w:rsidRPr="005B6075">
              <w:rPr>
                <w:rFonts w:cs="Arial"/>
              </w:rPr>
              <w:t>,</w:t>
            </w:r>
            <w:r>
              <w:rPr>
                <w:rFonts w:cs="Arial"/>
              </w:rPr>
              <w:t xml:space="preserve"> Millennium Bridge House, 2 Lambeth Hill, </w:t>
            </w:r>
            <w:r w:rsidRPr="005B6075">
              <w:rPr>
                <w:rFonts w:cs="Arial"/>
              </w:rPr>
              <w:t>London EC</w:t>
            </w:r>
            <w:r>
              <w:rPr>
                <w:rFonts w:cs="Arial"/>
              </w:rPr>
              <w:t xml:space="preserve">4V 4AJ on </w:t>
            </w:r>
            <w:r w:rsidR="00581FAD">
              <w:rPr>
                <w:rFonts w:cs="Arial"/>
              </w:rPr>
              <w:t>27 November</w:t>
            </w:r>
            <w:r>
              <w:rPr>
                <w:rFonts w:cs="Arial"/>
              </w:rPr>
              <w:t xml:space="preserve"> 2014</w:t>
            </w:r>
            <w:r w:rsidRPr="005B6075">
              <w:rPr>
                <w:rFonts w:cs="Arial"/>
              </w:rPr>
              <w:t xml:space="preserve"> is set out in this document.</w:t>
            </w:r>
          </w:p>
          <w:p w:rsidR="005B6075" w:rsidRPr="005B6075" w:rsidRDefault="005B6075" w:rsidP="005B6075">
            <w:pPr>
              <w:rPr>
                <w:rFonts w:cs="Arial"/>
              </w:rPr>
            </w:pPr>
          </w:p>
          <w:p w:rsidR="00246778" w:rsidRPr="00246778" w:rsidRDefault="005B6075" w:rsidP="005D3A5E">
            <w:pPr>
              <w:rPr>
                <w:rFonts w:cs="Arial"/>
                <w:color w:val="FF0000"/>
              </w:rPr>
            </w:pPr>
            <w:r w:rsidRPr="005B6075">
              <w:rPr>
                <w:rFonts w:cs="Arial"/>
              </w:rPr>
              <w:t xml:space="preserve">If you are unable to attend the meeting you are requested to complete and return the enclosed Form of Proxy in accordance with the instructions printed on it as soon as possible and in any event so that it arrives no later than 48 hours before the time set for the meeting.  Completing the Form of Proxy will not prevent you attending and voting at the </w:t>
            </w:r>
            <w:r>
              <w:rPr>
                <w:rFonts w:cs="Arial"/>
              </w:rPr>
              <w:t>Unit</w:t>
            </w:r>
            <w:r w:rsidRPr="005B6075">
              <w:rPr>
                <w:rFonts w:cs="Arial"/>
              </w:rPr>
              <w:t>holder meeting in person, if you wish to do so.</w:t>
            </w:r>
          </w:p>
          <w:p w:rsidR="009E4D35" w:rsidRPr="0009387C" w:rsidRDefault="009E4D35" w:rsidP="0009387C">
            <w:pPr>
              <w:rPr>
                <w:rFonts w:cs="Arial"/>
              </w:rPr>
            </w:pPr>
          </w:p>
          <w:p w:rsidR="009E4D35" w:rsidRPr="0009387C" w:rsidRDefault="009E4D35" w:rsidP="0009387C">
            <w:pPr>
              <w:rPr>
                <w:rFonts w:cs="Arial"/>
              </w:rPr>
            </w:pPr>
          </w:p>
          <w:p w:rsidR="009E4D35" w:rsidRPr="0009387C" w:rsidRDefault="009E4D35" w:rsidP="0009387C">
            <w:pPr>
              <w:rPr>
                <w:rFonts w:cs="Arial"/>
              </w:rPr>
            </w:pPr>
          </w:p>
          <w:p w:rsidR="009E4D35" w:rsidRPr="0009387C" w:rsidRDefault="009E4D35" w:rsidP="0009387C">
            <w:pPr>
              <w:rPr>
                <w:rFonts w:cs="Arial"/>
              </w:rPr>
            </w:pPr>
          </w:p>
          <w:p w:rsidR="009E4D35" w:rsidRPr="0009387C" w:rsidRDefault="009E4D35" w:rsidP="0009387C">
            <w:pPr>
              <w:rPr>
                <w:rFonts w:cs="Arial"/>
              </w:rPr>
            </w:pPr>
          </w:p>
          <w:p w:rsidR="009E4D35" w:rsidRPr="0009387C" w:rsidRDefault="009E4D35" w:rsidP="0009387C">
            <w:pPr>
              <w:rPr>
                <w:rFonts w:cs="Arial"/>
              </w:rPr>
            </w:pPr>
          </w:p>
          <w:p w:rsidR="009E4D35" w:rsidRPr="0009387C" w:rsidRDefault="009E4D35" w:rsidP="0009387C">
            <w:pPr>
              <w:rPr>
                <w:rFonts w:cs="Arial"/>
              </w:rPr>
            </w:pPr>
          </w:p>
          <w:p w:rsidR="009E4D35" w:rsidRPr="0009387C" w:rsidRDefault="009E4D35" w:rsidP="0009387C">
            <w:pPr>
              <w:rPr>
                <w:rFonts w:cs="Arial"/>
              </w:rPr>
            </w:pPr>
          </w:p>
          <w:p w:rsidR="009E4D35" w:rsidRPr="0009387C" w:rsidRDefault="009E4D35" w:rsidP="0009387C">
            <w:pPr>
              <w:rPr>
                <w:rFonts w:cs="Arial"/>
              </w:rPr>
            </w:pPr>
          </w:p>
        </w:tc>
      </w:tr>
    </w:tbl>
    <w:p w:rsidR="009E4D35" w:rsidRPr="0009387C" w:rsidRDefault="009E4D35" w:rsidP="000D64DC">
      <w:pPr>
        <w:pStyle w:val="ScheduleHeadingPartTOC"/>
        <w:numPr>
          <w:ilvl w:val="1"/>
          <w:numId w:val="20"/>
        </w:numPr>
        <w:ind w:left="0" w:firstLine="0"/>
        <w:rPr>
          <w:rFonts w:cs="Arial"/>
        </w:rPr>
      </w:pPr>
      <w:bookmarkStart w:id="3" w:name="cFooterDocRef1"/>
      <w:bookmarkStart w:id="4" w:name="_Ref283916556"/>
      <w:bookmarkEnd w:id="3"/>
      <w:r w:rsidRPr="0009387C">
        <w:rPr>
          <w:rFonts w:cs="Arial"/>
        </w:rPr>
        <w:br w:type="page"/>
      </w:r>
      <w:bookmarkStart w:id="5" w:name="TOCmarker"/>
      <w:bookmarkStart w:id="6" w:name="TOCStart"/>
      <w:bookmarkEnd w:id="4"/>
      <w:bookmarkEnd w:id="5"/>
      <w:bookmarkEnd w:id="6"/>
    </w:p>
    <w:p w:rsidR="009E4D35" w:rsidRPr="0009387C" w:rsidRDefault="009E4D35" w:rsidP="0009387C">
      <w:pPr>
        <w:pStyle w:val="ScheduleSubHeadingTOC"/>
        <w:rPr>
          <w:rStyle w:val="MacLevel1TOC"/>
          <w:b/>
          <w:bCs w:val="0"/>
        </w:rPr>
      </w:pPr>
      <w:r w:rsidRPr="0009387C">
        <w:rPr>
          <w:rStyle w:val="MacLevel1TOC"/>
          <w:b/>
        </w:rPr>
        <w:lastRenderedPageBreak/>
        <w:t>DIRECTORY</w:t>
      </w:r>
    </w:p>
    <w:tbl>
      <w:tblPr>
        <w:tblW w:w="9220" w:type="dxa"/>
        <w:tblInd w:w="18" w:type="dxa"/>
        <w:tblLook w:val="01E0" w:firstRow="1" w:lastRow="1" w:firstColumn="1" w:lastColumn="1" w:noHBand="0" w:noVBand="0"/>
      </w:tblPr>
      <w:tblGrid>
        <w:gridCol w:w="9220"/>
      </w:tblGrid>
      <w:tr w:rsidR="009E4D35" w:rsidRPr="0009387C" w:rsidTr="00B176C7">
        <w:tc>
          <w:tcPr>
            <w:tcW w:w="9220" w:type="dxa"/>
          </w:tcPr>
          <w:p w:rsidR="009E4D35" w:rsidRPr="0009387C" w:rsidRDefault="009E4D35" w:rsidP="0009387C">
            <w:pPr>
              <w:rPr>
                <w:rFonts w:cs="Arial"/>
                <w:b/>
                <w:sz w:val="22"/>
                <w:szCs w:val="22"/>
              </w:rPr>
            </w:pPr>
            <w:r w:rsidRPr="0009387C">
              <w:rPr>
                <w:rFonts w:cs="Arial"/>
                <w:b/>
                <w:sz w:val="22"/>
                <w:szCs w:val="22"/>
              </w:rPr>
              <w:t>Discontinuing Fund</w:t>
            </w:r>
          </w:p>
          <w:p w:rsidR="009E4D35" w:rsidRPr="0009387C" w:rsidRDefault="009E4D35" w:rsidP="0009387C">
            <w:pPr>
              <w:spacing w:after="0"/>
              <w:rPr>
                <w:rFonts w:cs="Arial"/>
                <w:sz w:val="22"/>
                <w:szCs w:val="22"/>
              </w:rPr>
            </w:pPr>
            <w:r w:rsidRPr="0009387C">
              <w:rPr>
                <w:rFonts w:cs="Arial"/>
                <w:sz w:val="22"/>
                <w:szCs w:val="22"/>
              </w:rPr>
              <w:t xml:space="preserve">Old </w:t>
            </w:r>
            <w:r w:rsidR="0071141B">
              <w:rPr>
                <w:rFonts w:cs="Arial"/>
                <w:sz w:val="22"/>
                <w:szCs w:val="22"/>
              </w:rPr>
              <w:t>Mutual Property Fund</w:t>
            </w:r>
          </w:p>
          <w:p w:rsidR="009E4D35" w:rsidRPr="0009387C" w:rsidRDefault="0071141B" w:rsidP="0009387C">
            <w:pPr>
              <w:spacing w:after="0"/>
              <w:rPr>
                <w:rFonts w:cs="Arial"/>
                <w:sz w:val="22"/>
                <w:szCs w:val="22"/>
              </w:rPr>
            </w:pPr>
            <w:r>
              <w:rPr>
                <w:rFonts w:cs="Arial"/>
                <w:sz w:val="22"/>
                <w:szCs w:val="22"/>
              </w:rPr>
              <w:t>Millennium Bridge House</w:t>
            </w:r>
          </w:p>
          <w:p w:rsidR="009F6FD9" w:rsidRPr="0009387C" w:rsidRDefault="0071141B" w:rsidP="0009387C">
            <w:pPr>
              <w:spacing w:after="0"/>
              <w:rPr>
                <w:rFonts w:cs="Arial"/>
                <w:sz w:val="22"/>
                <w:szCs w:val="22"/>
              </w:rPr>
            </w:pPr>
            <w:r>
              <w:rPr>
                <w:rFonts w:cs="Arial"/>
                <w:sz w:val="22"/>
                <w:szCs w:val="22"/>
              </w:rPr>
              <w:t>2 Lambeth Hill</w:t>
            </w:r>
          </w:p>
          <w:p w:rsidR="009E4D35" w:rsidRPr="0009387C" w:rsidRDefault="0071141B" w:rsidP="0009387C">
            <w:pPr>
              <w:spacing w:after="0"/>
              <w:rPr>
                <w:rFonts w:cs="Arial"/>
                <w:sz w:val="22"/>
                <w:szCs w:val="22"/>
              </w:rPr>
            </w:pPr>
            <w:r>
              <w:rPr>
                <w:rFonts w:cs="Arial"/>
                <w:sz w:val="22"/>
                <w:szCs w:val="22"/>
              </w:rPr>
              <w:t>London</w:t>
            </w:r>
            <w:r w:rsidR="007321AE">
              <w:rPr>
                <w:rFonts w:cs="Arial"/>
                <w:sz w:val="22"/>
                <w:szCs w:val="22"/>
              </w:rPr>
              <w:t xml:space="preserve"> </w:t>
            </w:r>
            <w:r>
              <w:rPr>
                <w:rFonts w:cs="Arial"/>
                <w:sz w:val="22"/>
                <w:szCs w:val="22"/>
              </w:rPr>
              <w:t>EC4V 4AJ</w:t>
            </w:r>
          </w:p>
          <w:p w:rsidR="009F6FD9" w:rsidRPr="0009387C" w:rsidRDefault="009F6FD9" w:rsidP="0009387C">
            <w:pPr>
              <w:spacing w:after="0"/>
              <w:rPr>
                <w:rFonts w:cs="Arial"/>
                <w:sz w:val="22"/>
                <w:szCs w:val="22"/>
              </w:rPr>
            </w:pPr>
          </w:p>
        </w:tc>
      </w:tr>
    </w:tbl>
    <w:p w:rsidR="009E4D35" w:rsidRPr="0009387C" w:rsidRDefault="009E4D35" w:rsidP="0009387C">
      <w:pPr>
        <w:spacing w:after="0"/>
        <w:rPr>
          <w:rFonts w:cs="Arial"/>
          <w:b/>
          <w:sz w:val="22"/>
          <w:szCs w:val="22"/>
        </w:rPr>
      </w:pPr>
      <w:bookmarkStart w:id="7" w:name="_Ref286410623"/>
      <w:r w:rsidRPr="0009387C">
        <w:rPr>
          <w:rFonts w:cs="Arial"/>
          <w:b/>
          <w:sz w:val="22"/>
          <w:szCs w:val="22"/>
        </w:rPr>
        <w:t>Continuing Fund</w:t>
      </w:r>
    </w:p>
    <w:p w:rsidR="009E4D35" w:rsidRPr="0009387C" w:rsidRDefault="009E4D35" w:rsidP="0009387C">
      <w:pPr>
        <w:spacing w:after="0"/>
        <w:rPr>
          <w:rFonts w:cs="Arial"/>
          <w:b/>
          <w:sz w:val="22"/>
          <w:szCs w:val="22"/>
        </w:rPr>
      </w:pPr>
    </w:p>
    <w:p w:rsidR="009E4D35" w:rsidRPr="0009387C" w:rsidRDefault="0071141B" w:rsidP="0009387C">
      <w:pPr>
        <w:spacing w:after="0"/>
        <w:rPr>
          <w:rFonts w:cs="Arial"/>
          <w:sz w:val="22"/>
          <w:szCs w:val="22"/>
        </w:rPr>
      </w:pPr>
      <w:r>
        <w:rPr>
          <w:rFonts w:cs="Arial"/>
          <w:sz w:val="22"/>
          <w:szCs w:val="22"/>
        </w:rPr>
        <w:t>Henderson UK Property OEIC</w:t>
      </w:r>
    </w:p>
    <w:p w:rsidR="009F6FD9" w:rsidRDefault="0071141B" w:rsidP="0009387C">
      <w:pPr>
        <w:spacing w:after="0"/>
        <w:rPr>
          <w:rFonts w:cs="Arial"/>
          <w:sz w:val="22"/>
          <w:szCs w:val="22"/>
        </w:rPr>
      </w:pPr>
      <w:r>
        <w:rPr>
          <w:rFonts w:cs="Arial"/>
          <w:sz w:val="22"/>
          <w:szCs w:val="22"/>
        </w:rPr>
        <w:t>201 Bishop</w:t>
      </w:r>
      <w:r w:rsidR="00DF1D3A">
        <w:rPr>
          <w:rFonts w:cs="Arial"/>
          <w:sz w:val="22"/>
          <w:szCs w:val="22"/>
        </w:rPr>
        <w:t>s</w:t>
      </w:r>
      <w:r>
        <w:rPr>
          <w:rFonts w:cs="Arial"/>
          <w:sz w:val="22"/>
          <w:szCs w:val="22"/>
        </w:rPr>
        <w:t>gate</w:t>
      </w:r>
    </w:p>
    <w:p w:rsidR="0071141B" w:rsidRPr="0009387C" w:rsidRDefault="0071141B" w:rsidP="0009387C">
      <w:pPr>
        <w:spacing w:after="0"/>
        <w:rPr>
          <w:rFonts w:cs="Arial"/>
          <w:sz w:val="22"/>
          <w:szCs w:val="22"/>
        </w:rPr>
      </w:pPr>
      <w:r>
        <w:rPr>
          <w:rFonts w:cs="Arial"/>
          <w:sz w:val="22"/>
          <w:szCs w:val="22"/>
        </w:rPr>
        <w:t>London</w:t>
      </w:r>
      <w:r w:rsidR="007321AE">
        <w:rPr>
          <w:rFonts w:cs="Arial"/>
          <w:sz w:val="22"/>
          <w:szCs w:val="22"/>
        </w:rPr>
        <w:t xml:space="preserve"> </w:t>
      </w:r>
      <w:r>
        <w:rPr>
          <w:rFonts w:cs="Arial"/>
          <w:sz w:val="22"/>
          <w:szCs w:val="22"/>
        </w:rPr>
        <w:t>EC2M 3AE</w:t>
      </w:r>
    </w:p>
    <w:p w:rsidR="009E4D35" w:rsidRPr="0009387C" w:rsidRDefault="009E4D35" w:rsidP="0009387C">
      <w:pPr>
        <w:spacing w:after="0"/>
        <w:rPr>
          <w:rFonts w:cs="Arial"/>
          <w:sz w:val="22"/>
          <w:szCs w:val="22"/>
        </w:rPr>
      </w:pPr>
    </w:p>
    <w:tbl>
      <w:tblPr>
        <w:tblW w:w="9220" w:type="dxa"/>
        <w:tblInd w:w="18" w:type="dxa"/>
        <w:tblLook w:val="01E0" w:firstRow="1" w:lastRow="1" w:firstColumn="1" w:lastColumn="1" w:noHBand="0" w:noVBand="0"/>
      </w:tblPr>
      <w:tblGrid>
        <w:gridCol w:w="9220"/>
      </w:tblGrid>
      <w:tr w:rsidR="009E4D35" w:rsidRPr="0009387C" w:rsidTr="005F2D32">
        <w:tc>
          <w:tcPr>
            <w:tcW w:w="9220" w:type="dxa"/>
          </w:tcPr>
          <w:p w:rsidR="009E4D35" w:rsidRPr="0009387C" w:rsidRDefault="009E4D35" w:rsidP="0009387C">
            <w:pPr>
              <w:rPr>
                <w:rFonts w:cs="Arial"/>
                <w:b/>
                <w:sz w:val="22"/>
                <w:szCs w:val="22"/>
              </w:rPr>
            </w:pPr>
            <w:r w:rsidRPr="0009387C">
              <w:rPr>
                <w:rFonts w:cs="Arial"/>
                <w:b/>
                <w:sz w:val="22"/>
                <w:szCs w:val="22"/>
              </w:rPr>
              <w:t xml:space="preserve">Manager of the Discontinuing Fund </w:t>
            </w:r>
          </w:p>
          <w:p w:rsidR="009E4D35" w:rsidRPr="0009387C" w:rsidRDefault="009E4D35" w:rsidP="0009387C">
            <w:pPr>
              <w:spacing w:after="0"/>
              <w:rPr>
                <w:rFonts w:cs="Arial"/>
                <w:sz w:val="22"/>
                <w:szCs w:val="22"/>
              </w:rPr>
            </w:pPr>
            <w:r w:rsidRPr="0009387C">
              <w:rPr>
                <w:rFonts w:cs="Arial"/>
                <w:sz w:val="22"/>
                <w:szCs w:val="22"/>
              </w:rPr>
              <w:t xml:space="preserve">Old Mutual Investment Management Limited </w:t>
            </w:r>
          </w:p>
          <w:p w:rsidR="007321AE" w:rsidRPr="0009387C" w:rsidRDefault="007321AE" w:rsidP="007321AE">
            <w:pPr>
              <w:spacing w:after="0"/>
              <w:rPr>
                <w:rFonts w:cs="Arial"/>
                <w:sz w:val="22"/>
                <w:szCs w:val="22"/>
              </w:rPr>
            </w:pPr>
            <w:r>
              <w:rPr>
                <w:rFonts w:cs="Arial"/>
                <w:sz w:val="22"/>
                <w:szCs w:val="22"/>
              </w:rPr>
              <w:t>Millennium Bridge House</w:t>
            </w:r>
          </w:p>
          <w:p w:rsidR="007321AE" w:rsidRPr="0009387C" w:rsidRDefault="007321AE" w:rsidP="007321AE">
            <w:pPr>
              <w:spacing w:after="0"/>
              <w:rPr>
                <w:rFonts w:cs="Arial"/>
                <w:sz w:val="22"/>
                <w:szCs w:val="22"/>
              </w:rPr>
            </w:pPr>
            <w:r>
              <w:rPr>
                <w:rFonts w:cs="Arial"/>
                <w:sz w:val="22"/>
                <w:szCs w:val="22"/>
              </w:rPr>
              <w:t>2 Lambeth Hill</w:t>
            </w:r>
          </w:p>
          <w:p w:rsidR="007321AE" w:rsidRPr="0009387C" w:rsidRDefault="007321AE" w:rsidP="007321AE">
            <w:pPr>
              <w:spacing w:after="0"/>
              <w:rPr>
                <w:rFonts w:cs="Arial"/>
                <w:sz w:val="22"/>
                <w:szCs w:val="22"/>
              </w:rPr>
            </w:pPr>
            <w:r>
              <w:rPr>
                <w:rFonts w:cs="Arial"/>
                <w:sz w:val="22"/>
                <w:szCs w:val="22"/>
              </w:rPr>
              <w:t>London EC4V 4AJ</w:t>
            </w:r>
          </w:p>
          <w:p w:rsidR="007321AE" w:rsidRDefault="007321AE" w:rsidP="0009387C">
            <w:pPr>
              <w:spacing w:after="0"/>
              <w:rPr>
                <w:rFonts w:cs="Arial"/>
                <w:sz w:val="22"/>
                <w:szCs w:val="22"/>
              </w:rPr>
            </w:pPr>
          </w:p>
          <w:p w:rsidR="007321AE" w:rsidRDefault="007321AE" w:rsidP="0009387C">
            <w:pPr>
              <w:spacing w:after="0"/>
              <w:rPr>
                <w:rFonts w:cs="Arial"/>
                <w:b/>
                <w:sz w:val="22"/>
                <w:szCs w:val="22"/>
              </w:rPr>
            </w:pPr>
            <w:r w:rsidRPr="0009387C">
              <w:rPr>
                <w:rFonts w:cs="Arial"/>
                <w:b/>
                <w:sz w:val="22"/>
                <w:szCs w:val="22"/>
              </w:rPr>
              <w:t>Authorised Corporate Director of the Continuing Fund</w:t>
            </w:r>
          </w:p>
          <w:p w:rsidR="007321AE" w:rsidRPr="0009387C" w:rsidRDefault="007321AE" w:rsidP="0009387C">
            <w:pPr>
              <w:spacing w:after="0"/>
              <w:rPr>
                <w:rFonts w:cs="Arial"/>
                <w:sz w:val="22"/>
                <w:szCs w:val="22"/>
              </w:rPr>
            </w:pPr>
          </w:p>
          <w:p w:rsidR="009E4D35" w:rsidRDefault="007321AE" w:rsidP="0009387C">
            <w:pPr>
              <w:spacing w:after="0"/>
              <w:rPr>
                <w:rFonts w:cs="Arial"/>
                <w:sz w:val="22"/>
                <w:szCs w:val="22"/>
              </w:rPr>
            </w:pPr>
            <w:r>
              <w:rPr>
                <w:rFonts w:cs="Arial"/>
                <w:sz w:val="22"/>
                <w:szCs w:val="22"/>
              </w:rPr>
              <w:t>Henderson Investment Funds Limited</w:t>
            </w:r>
          </w:p>
          <w:p w:rsidR="007321AE" w:rsidRDefault="007321AE" w:rsidP="007321AE">
            <w:pPr>
              <w:spacing w:after="0"/>
              <w:rPr>
                <w:rFonts w:cs="Arial"/>
                <w:sz w:val="22"/>
                <w:szCs w:val="22"/>
              </w:rPr>
            </w:pPr>
            <w:r>
              <w:rPr>
                <w:rFonts w:cs="Arial"/>
                <w:sz w:val="22"/>
                <w:szCs w:val="22"/>
              </w:rPr>
              <w:t>201 Bishop</w:t>
            </w:r>
            <w:r w:rsidR="00DF1D3A">
              <w:rPr>
                <w:rFonts w:cs="Arial"/>
                <w:sz w:val="22"/>
                <w:szCs w:val="22"/>
              </w:rPr>
              <w:t>s</w:t>
            </w:r>
            <w:r>
              <w:rPr>
                <w:rFonts w:cs="Arial"/>
                <w:sz w:val="22"/>
                <w:szCs w:val="22"/>
              </w:rPr>
              <w:t>gate</w:t>
            </w:r>
          </w:p>
          <w:p w:rsidR="007321AE" w:rsidRDefault="007321AE" w:rsidP="007321AE">
            <w:pPr>
              <w:spacing w:after="0"/>
              <w:rPr>
                <w:rFonts w:cs="Arial"/>
                <w:sz w:val="22"/>
                <w:szCs w:val="22"/>
              </w:rPr>
            </w:pPr>
            <w:r>
              <w:rPr>
                <w:rFonts w:cs="Arial"/>
                <w:sz w:val="22"/>
                <w:szCs w:val="22"/>
              </w:rPr>
              <w:t>London EC2M 3AE</w:t>
            </w:r>
          </w:p>
          <w:p w:rsidR="002F4F49" w:rsidRPr="0009387C" w:rsidRDefault="002F4F49" w:rsidP="007321AE">
            <w:pPr>
              <w:spacing w:after="0"/>
              <w:rPr>
                <w:rFonts w:cs="Arial"/>
                <w:sz w:val="22"/>
                <w:szCs w:val="22"/>
              </w:rPr>
            </w:pPr>
            <w:r>
              <w:rPr>
                <w:rFonts w:cs="Arial"/>
                <w:sz w:val="22"/>
                <w:szCs w:val="22"/>
              </w:rPr>
              <w:t>Telephone; 0800 832 832</w:t>
            </w:r>
          </w:p>
          <w:p w:rsidR="007321AE" w:rsidRPr="0009387C" w:rsidRDefault="007321AE" w:rsidP="0009387C">
            <w:pPr>
              <w:spacing w:after="0"/>
              <w:rPr>
                <w:rFonts w:cs="Arial"/>
                <w:sz w:val="22"/>
                <w:szCs w:val="22"/>
              </w:rPr>
            </w:pPr>
          </w:p>
        </w:tc>
      </w:tr>
      <w:tr w:rsidR="009E4D35" w:rsidRPr="0009387C" w:rsidTr="005F2D32">
        <w:tc>
          <w:tcPr>
            <w:tcW w:w="9220" w:type="dxa"/>
          </w:tcPr>
          <w:p w:rsidR="007321AE" w:rsidRDefault="009E4D35" w:rsidP="0009387C">
            <w:pPr>
              <w:rPr>
                <w:rFonts w:cs="Arial"/>
                <w:b/>
                <w:sz w:val="22"/>
                <w:szCs w:val="22"/>
              </w:rPr>
            </w:pPr>
            <w:r w:rsidRPr="0009387C">
              <w:rPr>
                <w:rFonts w:cs="Arial"/>
                <w:b/>
                <w:sz w:val="22"/>
                <w:szCs w:val="22"/>
              </w:rPr>
              <w:t xml:space="preserve">Administrator of the Discontinuing Fund </w:t>
            </w:r>
          </w:p>
          <w:p w:rsidR="007321AE" w:rsidRDefault="007321AE" w:rsidP="007321AE">
            <w:pPr>
              <w:spacing w:after="0"/>
              <w:rPr>
                <w:rFonts w:cs="Arial"/>
                <w:sz w:val="22"/>
                <w:szCs w:val="22"/>
              </w:rPr>
            </w:pPr>
            <w:r w:rsidRPr="0009387C">
              <w:rPr>
                <w:rFonts w:cs="Arial"/>
                <w:sz w:val="22"/>
                <w:szCs w:val="22"/>
              </w:rPr>
              <w:t xml:space="preserve">Citibank </w:t>
            </w:r>
            <w:r w:rsidR="00526093">
              <w:rPr>
                <w:rFonts w:cs="Arial"/>
                <w:sz w:val="22"/>
                <w:szCs w:val="22"/>
              </w:rPr>
              <w:t>Europe plc</w:t>
            </w:r>
          </w:p>
          <w:p w:rsidR="00526093" w:rsidRDefault="00526093" w:rsidP="007321AE">
            <w:pPr>
              <w:spacing w:after="0"/>
              <w:rPr>
                <w:rFonts w:cs="Arial"/>
                <w:sz w:val="22"/>
                <w:szCs w:val="22"/>
              </w:rPr>
            </w:pPr>
            <w:r>
              <w:rPr>
                <w:rFonts w:cs="Arial"/>
                <w:sz w:val="22"/>
                <w:szCs w:val="22"/>
              </w:rPr>
              <w:t>1 North Wall Quay</w:t>
            </w:r>
          </w:p>
          <w:p w:rsidR="00526093" w:rsidRDefault="00526093" w:rsidP="007321AE">
            <w:pPr>
              <w:spacing w:after="0"/>
              <w:rPr>
                <w:rFonts w:cs="Arial"/>
                <w:sz w:val="22"/>
                <w:szCs w:val="22"/>
              </w:rPr>
            </w:pPr>
            <w:r>
              <w:rPr>
                <w:rFonts w:cs="Arial"/>
                <w:sz w:val="22"/>
                <w:szCs w:val="22"/>
              </w:rPr>
              <w:t>Dublin 1</w:t>
            </w:r>
          </w:p>
          <w:p w:rsidR="00526093" w:rsidRPr="0009387C" w:rsidRDefault="00526093" w:rsidP="007321AE">
            <w:pPr>
              <w:spacing w:after="0"/>
              <w:rPr>
                <w:rFonts w:cs="Arial"/>
                <w:sz w:val="22"/>
                <w:szCs w:val="22"/>
              </w:rPr>
            </w:pPr>
            <w:r>
              <w:rPr>
                <w:rFonts w:cs="Arial"/>
                <w:sz w:val="22"/>
                <w:szCs w:val="22"/>
              </w:rPr>
              <w:t>Ireland</w:t>
            </w:r>
          </w:p>
          <w:p w:rsidR="007321AE" w:rsidRDefault="007321AE" w:rsidP="007321AE">
            <w:pPr>
              <w:spacing w:after="0"/>
              <w:rPr>
                <w:rFonts w:cs="Arial"/>
                <w:b/>
                <w:sz w:val="22"/>
                <w:szCs w:val="22"/>
              </w:rPr>
            </w:pPr>
          </w:p>
          <w:p w:rsidR="009E4D35" w:rsidRPr="0009387C" w:rsidRDefault="002F4F49" w:rsidP="0009387C">
            <w:pPr>
              <w:rPr>
                <w:rFonts w:cs="Arial"/>
                <w:b/>
                <w:sz w:val="22"/>
                <w:szCs w:val="22"/>
              </w:rPr>
            </w:pPr>
            <w:r>
              <w:rPr>
                <w:rFonts w:cs="Arial"/>
                <w:b/>
                <w:sz w:val="22"/>
                <w:szCs w:val="22"/>
              </w:rPr>
              <w:t xml:space="preserve">Shareholder </w:t>
            </w:r>
            <w:r w:rsidR="007321AE">
              <w:rPr>
                <w:rFonts w:cs="Arial"/>
                <w:b/>
                <w:sz w:val="22"/>
                <w:szCs w:val="22"/>
              </w:rPr>
              <w:t>Administrator of the C</w:t>
            </w:r>
            <w:r w:rsidR="009E4D35" w:rsidRPr="0009387C">
              <w:rPr>
                <w:rFonts w:cs="Arial"/>
                <w:b/>
                <w:sz w:val="22"/>
                <w:szCs w:val="22"/>
              </w:rPr>
              <w:t>ontinuing Fund</w:t>
            </w:r>
          </w:p>
          <w:p w:rsidR="009E4D35" w:rsidRDefault="007321AE" w:rsidP="0009387C">
            <w:pPr>
              <w:spacing w:after="0"/>
              <w:rPr>
                <w:rFonts w:cs="Arial"/>
                <w:sz w:val="22"/>
                <w:szCs w:val="22"/>
              </w:rPr>
            </w:pPr>
            <w:r>
              <w:rPr>
                <w:rFonts w:cs="Arial"/>
                <w:sz w:val="22"/>
                <w:szCs w:val="22"/>
              </w:rPr>
              <w:t xml:space="preserve">International </w:t>
            </w:r>
            <w:r w:rsidR="003667F1">
              <w:rPr>
                <w:rFonts w:cs="Arial"/>
                <w:sz w:val="22"/>
                <w:szCs w:val="22"/>
              </w:rPr>
              <w:t xml:space="preserve">Financial </w:t>
            </w:r>
            <w:r>
              <w:rPr>
                <w:rFonts w:cs="Arial"/>
                <w:sz w:val="22"/>
                <w:szCs w:val="22"/>
              </w:rPr>
              <w:t xml:space="preserve">Data </w:t>
            </w:r>
            <w:r w:rsidR="003667F1">
              <w:rPr>
                <w:rFonts w:cs="Arial"/>
                <w:sz w:val="22"/>
                <w:szCs w:val="22"/>
              </w:rPr>
              <w:t>Services (UK) Limited</w:t>
            </w:r>
          </w:p>
          <w:p w:rsidR="003667F1" w:rsidRDefault="003667F1" w:rsidP="0009387C">
            <w:pPr>
              <w:spacing w:after="0"/>
              <w:rPr>
                <w:rFonts w:cs="Arial"/>
                <w:sz w:val="22"/>
                <w:szCs w:val="22"/>
              </w:rPr>
            </w:pPr>
            <w:r>
              <w:rPr>
                <w:rFonts w:cs="Arial"/>
                <w:sz w:val="22"/>
                <w:szCs w:val="22"/>
              </w:rPr>
              <w:t>IFDS House</w:t>
            </w:r>
          </w:p>
          <w:p w:rsidR="003667F1" w:rsidRDefault="003667F1" w:rsidP="0009387C">
            <w:pPr>
              <w:spacing w:after="0"/>
              <w:rPr>
                <w:rFonts w:cs="Arial"/>
                <w:sz w:val="22"/>
                <w:szCs w:val="22"/>
              </w:rPr>
            </w:pPr>
            <w:r>
              <w:rPr>
                <w:rFonts w:cs="Arial"/>
                <w:sz w:val="22"/>
                <w:szCs w:val="22"/>
              </w:rPr>
              <w:t>St Nicholas Lane</w:t>
            </w:r>
          </w:p>
          <w:p w:rsidR="003667F1" w:rsidRDefault="003667F1" w:rsidP="0009387C">
            <w:pPr>
              <w:spacing w:after="0"/>
              <w:rPr>
                <w:rFonts w:cs="Arial"/>
                <w:sz w:val="22"/>
                <w:szCs w:val="22"/>
              </w:rPr>
            </w:pPr>
            <w:r>
              <w:rPr>
                <w:rFonts w:cs="Arial"/>
                <w:sz w:val="22"/>
                <w:szCs w:val="22"/>
              </w:rPr>
              <w:t>Basildon</w:t>
            </w:r>
          </w:p>
          <w:p w:rsidR="003667F1" w:rsidRDefault="003667F1" w:rsidP="0009387C">
            <w:pPr>
              <w:spacing w:after="0"/>
              <w:rPr>
                <w:rFonts w:cs="Arial"/>
                <w:sz w:val="22"/>
                <w:szCs w:val="22"/>
              </w:rPr>
            </w:pPr>
            <w:r>
              <w:rPr>
                <w:rFonts w:cs="Arial"/>
                <w:sz w:val="22"/>
                <w:szCs w:val="22"/>
              </w:rPr>
              <w:t>Essex SS15 5FS</w:t>
            </w:r>
          </w:p>
          <w:p w:rsidR="009E4D35" w:rsidRPr="0009387C" w:rsidRDefault="009E4D35" w:rsidP="0009387C">
            <w:pPr>
              <w:spacing w:after="0"/>
              <w:rPr>
                <w:rFonts w:cs="Arial"/>
                <w:sz w:val="22"/>
                <w:szCs w:val="22"/>
              </w:rPr>
            </w:pPr>
          </w:p>
        </w:tc>
      </w:tr>
      <w:tr w:rsidR="009E4D35" w:rsidRPr="0009387C" w:rsidTr="005F2D32">
        <w:tc>
          <w:tcPr>
            <w:tcW w:w="9220" w:type="dxa"/>
          </w:tcPr>
          <w:p w:rsidR="009E4D35" w:rsidRPr="0009387C" w:rsidRDefault="009E4D35" w:rsidP="0009387C">
            <w:pPr>
              <w:rPr>
                <w:rFonts w:cs="Arial"/>
                <w:b/>
                <w:sz w:val="22"/>
                <w:szCs w:val="22"/>
              </w:rPr>
            </w:pPr>
            <w:r w:rsidRPr="0009387C">
              <w:rPr>
                <w:rFonts w:cs="Arial"/>
                <w:b/>
                <w:sz w:val="22"/>
                <w:szCs w:val="22"/>
              </w:rPr>
              <w:t>Trustee of the Discontinuing Fund</w:t>
            </w:r>
            <w:r w:rsidR="00135EF3">
              <w:rPr>
                <w:rFonts w:cs="Arial"/>
                <w:b/>
                <w:sz w:val="22"/>
                <w:szCs w:val="22"/>
              </w:rPr>
              <w:t xml:space="preserve"> and Depositary of the Continuing Fund</w:t>
            </w:r>
            <w:r w:rsidRPr="0009387C">
              <w:rPr>
                <w:rFonts w:cs="Arial"/>
                <w:b/>
                <w:sz w:val="22"/>
                <w:szCs w:val="22"/>
              </w:rPr>
              <w:t xml:space="preserve"> </w:t>
            </w:r>
          </w:p>
          <w:p w:rsidR="009E4D35" w:rsidRPr="0009387C" w:rsidRDefault="009E4D35" w:rsidP="0009387C">
            <w:pPr>
              <w:spacing w:after="0"/>
              <w:rPr>
                <w:rFonts w:cs="Arial"/>
                <w:sz w:val="22"/>
                <w:szCs w:val="22"/>
              </w:rPr>
            </w:pPr>
            <w:r w:rsidRPr="0009387C">
              <w:rPr>
                <w:rFonts w:cs="Arial"/>
                <w:sz w:val="22"/>
                <w:szCs w:val="22"/>
              </w:rPr>
              <w:t>National Westminster Bank Plc</w:t>
            </w:r>
          </w:p>
          <w:p w:rsidR="009E4D35" w:rsidRPr="0009387C" w:rsidRDefault="009E4D35" w:rsidP="0009387C">
            <w:pPr>
              <w:pStyle w:val="Body"/>
              <w:spacing w:after="0"/>
              <w:rPr>
                <w:rFonts w:ascii="Arial" w:hAnsi="Arial" w:cs="Arial"/>
                <w:szCs w:val="22"/>
                <w:lang w:eastAsia="en-US"/>
              </w:rPr>
            </w:pPr>
            <w:r w:rsidRPr="0009387C">
              <w:rPr>
                <w:rFonts w:ascii="Arial" w:hAnsi="Arial" w:cs="Arial"/>
                <w:szCs w:val="22"/>
                <w:lang w:eastAsia="en-US"/>
              </w:rPr>
              <w:t>135 Bishopsgate</w:t>
            </w:r>
          </w:p>
          <w:p w:rsidR="009E4D35" w:rsidRPr="0009387C" w:rsidRDefault="009E4D35" w:rsidP="0009387C">
            <w:pPr>
              <w:pStyle w:val="Body"/>
              <w:spacing w:after="0"/>
              <w:rPr>
                <w:rFonts w:ascii="Arial" w:hAnsi="Arial" w:cs="Arial"/>
                <w:szCs w:val="22"/>
                <w:lang w:eastAsia="en-US"/>
              </w:rPr>
            </w:pPr>
            <w:r w:rsidRPr="0009387C">
              <w:rPr>
                <w:rFonts w:ascii="Arial" w:hAnsi="Arial" w:cs="Arial"/>
                <w:szCs w:val="22"/>
                <w:lang w:eastAsia="en-US"/>
              </w:rPr>
              <w:t>London EC2M 3UR</w:t>
            </w:r>
          </w:p>
        </w:tc>
      </w:tr>
    </w:tbl>
    <w:p w:rsidR="008B1EDF" w:rsidRDefault="008B1EDF" w:rsidP="0009387C">
      <w:pPr>
        <w:spacing w:after="0"/>
        <w:rPr>
          <w:rFonts w:cs="Arial"/>
        </w:rPr>
      </w:pPr>
    </w:p>
    <w:p w:rsidR="009E4D35" w:rsidRPr="0009387C" w:rsidRDefault="008B1EDF" w:rsidP="00135EF3">
      <w:pPr>
        <w:spacing w:after="0"/>
        <w:jc w:val="left"/>
        <w:rPr>
          <w:rFonts w:cs="Arial"/>
        </w:rPr>
      </w:pPr>
      <w:r>
        <w:rPr>
          <w:rFonts w:cs="Arial"/>
        </w:rPr>
        <w:br w:type="page"/>
      </w:r>
    </w:p>
    <w:p w:rsidR="009E4D35" w:rsidRPr="0009387C" w:rsidRDefault="009E4D35" w:rsidP="000D64DC">
      <w:pPr>
        <w:pStyle w:val="ScheduleHeadingPartTOC"/>
        <w:numPr>
          <w:ilvl w:val="1"/>
          <w:numId w:val="20"/>
        </w:numPr>
        <w:ind w:left="0" w:firstLine="0"/>
        <w:rPr>
          <w:rFonts w:cs="Arial"/>
          <w:b w:val="0"/>
        </w:rPr>
      </w:pPr>
      <w:bookmarkStart w:id="8" w:name="_Ref399095219"/>
      <w:bookmarkStart w:id="9" w:name="_Ref399048085"/>
      <w:bookmarkStart w:id="10" w:name="_Ref399048809"/>
      <w:bookmarkStart w:id="11" w:name="_Ref399048035"/>
      <w:bookmarkEnd w:id="7"/>
    </w:p>
    <w:p w:rsidR="009E4D35" w:rsidRPr="0009387C" w:rsidRDefault="009E4D35" w:rsidP="0009387C">
      <w:pPr>
        <w:pStyle w:val="ScheduleSubHeadingTOC"/>
        <w:rPr>
          <w:rStyle w:val="MacLevel1TOC"/>
          <w:b/>
          <w:bCs w:val="0"/>
          <w:lang w:eastAsia="en-GB"/>
        </w:rPr>
      </w:pPr>
      <w:r w:rsidRPr="0009387C">
        <w:rPr>
          <w:rStyle w:val="MacLevel1TOC"/>
          <w:b/>
        </w:rPr>
        <w:t>GLOSSARY</w:t>
      </w:r>
      <w:bookmarkEnd w:id="8"/>
      <w:bookmarkEnd w:id="9"/>
      <w:bookmarkEnd w:id="10"/>
      <w:bookmarkEnd w:id="11"/>
    </w:p>
    <w:p w:rsidR="009E4D35" w:rsidRPr="0009387C" w:rsidRDefault="009E4D35" w:rsidP="0009387C">
      <w:pPr>
        <w:pStyle w:val="Body1"/>
        <w:ind w:left="0"/>
        <w:rPr>
          <w:rFonts w:cs="Arial"/>
        </w:rPr>
      </w:pPr>
      <w:r w:rsidRPr="0009387C">
        <w:rPr>
          <w:rFonts w:cs="Arial"/>
        </w:rPr>
        <w:t>Throughout this document, except when the context requires otherwise, terms defined in the Incorporation Documentation and the Prospectuses of the Discontinuing Fund and the Continuing Fund (as applicable) shall have the same meanings where used here and otherwise the following definitions apply:</w:t>
      </w:r>
    </w:p>
    <w:tbl>
      <w:tblPr>
        <w:tblW w:w="0" w:type="auto"/>
        <w:tblInd w:w="108" w:type="dxa"/>
        <w:tblLayout w:type="fixed"/>
        <w:tblLook w:val="0000" w:firstRow="0" w:lastRow="0" w:firstColumn="0" w:lastColumn="0" w:noHBand="0" w:noVBand="0"/>
      </w:tblPr>
      <w:tblGrid>
        <w:gridCol w:w="2090"/>
        <w:gridCol w:w="7040"/>
      </w:tblGrid>
      <w:tr w:rsidR="009E4D35" w:rsidRPr="0009387C" w:rsidTr="00C51A55">
        <w:tc>
          <w:tcPr>
            <w:tcW w:w="2090" w:type="dxa"/>
          </w:tcPr>
          <w:p w:rsidR="009E4D35" w:rsidRPr="0009387C" w:rsidRDefault="009E4D35" w:rsidP="0009387C">
            <w:pPr>
              <w:jc w:val="left"/>
              <w:rPr>
                <w:rFonts w:cs="Arial"/>
              </w:rPr>
            </w:pPr>
            <w:r w:rsidRPr="0009387C">
              <w:rPr>
                <w:rFonts w:cs="Arial"/>
              </w:rPr>
              <w:t>“</w:t>
            </w:r>
            <w:r w:rsidRPr="0009387C">
              <w:rPr>
                <w:rFonts w:cs="Arial"/>
                <w:b/>
              </w:rPr>
              <w:t>ACD</w:t>
            </w:r>
            <w:r w:rsidRPr="0009387C">
              <w:rPr>
                <w:rFonts w:cs="Arial"/>
              </w:rPr>
              <w:t>”</w:t>
            </w:r>
          </w:p>
        </w:tc>
        <w:tc>
          <w:tcPr>
            <w:tcW w:w="7040" w:type="dxa"/>
          </w:tcPr>
          <w:p w:rsidR="009E4D35" w:rsidRPr="0009387C" w:rsidRDefault="008B1EDF" w:rsidP="00A15AC1">
            <w:pPr>
              <w:rPr>
                <w:rFonts w:cs="Arial"/>
              </w:rPr>
            </w:pPr>
            <w:r>
              <w:rPr>
                <w:rFonts w:cs="Arial"/>
              </w:rPr>
              <w:t>Henderson Investment Funds</w:t>
            </w:r>
            <w:r w:rsidR="009E4D35" w:rsidRPr="0009387C">
              <w:rPr>
                <w:rFonts w:cs="Arial"/>
              </w:rPr>
              <w:t xml:space="preserve"> Limited, as the authorised corporate director </w:t>
            </w:r>
            <w:r w:rsidR="005D3A5E">
              <w:rPr>
                <w:rFonts w:cs="Arial"/>
              </w:rPr>
              <w:t xml:space="preserve">and alternative investment fund manager </w:t>
            </w:r>
            <w:r w:rsidR="009E4D35" w:rsidRPr="0009387C">
              <w:rPr>
                <w:rFonts w:cs="Arial"/>
              </w:rPr>
              <w:t xml:space="preserve">of </w:t>
            </w:r>
            <w:r w:rsidR="00A15AC1">
              <w:rPr>
                <w:rFonts w:cs="Arial"/>
              </w:rPr>
              <w:t>the Continuing Fund</w:t>
            </w:r>
            <w:r w:rsidR="009E4D35" w:rsidRPr="0009387C">
              <w:rPr>
                <w:rFonts w:cs="Arial"/>
              </w:rPr>
              <w:t>;</w:t>
            </w:r>
          </w:p>
        </w:tc>
      </w:tr>
      <w:tr w:rsidR="009E4D35" w:rsidRPr="0009387C" w:rsidTr="006C1504">
        <w:tc>
          <w:tcPr>
            <w:tcW w:w="2090" w:type="dxa"/>
          </w:tcPr>
          <w:p w:rsidR="009E4D35" w:rsidRPr="0009387C" w:rsidRDefault="009E4D35" w:rsidP="0009387C">
            <w:pPr>
              <w:jc w:val="left"/>
              <w:rPr>
                <w:rFonts w:cs="Arial"/>
              </w:rPr>
            </w:pPr>
            <w:r w:rsidRPr="0009387C">
              <w:rPr>
                <w:rFonts w:cs="Arial"/>
              </w:rPr>
              <w:t>“</w:t>
            </w:r>
            <w:r w:rsidRPr="0009387C">
              <w:rPr>
                <w:rFonts w:cs="Arial"/>
                <w:b/>
              </w:rPr>
              <w:t>Continuing Fund</w:t>
            </w:r>
            <w:r w:rsidRPr="0009387C">
              <w:rPr>
                <w:rFonts w:cs="Arial"/>
              </w:rPr>
              <w:t>”</w:t>
            </w:r>
          </w:p>
        </w:tc>
        <w:tc>
          <w:tcPr>
            <w:tcW w:w="7040" w:type="dxa"/>
          </w:tcPr>
          <w:p w:rsidR="009E4D35" w:rsidRPr="0009387C" w:rsidRDefault="00A15AC1" w:rsidP="0009387C">
            <w:pPr>
              <w:rPr>
                <w:rFonts w:cs="Arial"/>
              </w:rPr>
            </w:pPr>
            <w:r w:rsidRPr="008B1EDF">
              <w:rPr>
                <w:rFonts w:cs="Arial"/>
              </w:rPr>
              <w:t>Henderson UK Property OEIC</w:t>
            </w:r>
            <w:r w:rsidR="009E4D35" w:rsidRPr="0009387C">
              <w:rPr>
                <w:rFonts w:cs="Arial"/>
              </w:rPr>
              <w:t>;</w:t>
            </w:r>
          </w:p>
        </w:tc>
      </w:tr>
      <w:tr w:rsidR="009E4D35" w:rsidRPr="0009387C" w:rsidTr="006C1504">
        <w:tc>
          <w:tcPr>
            <w:tcW w:w="2090" w:type="dxa"/>
          </w:tcPr>
          <w:p w:rsidR="009E4D35" w:rsidRPr="0009387C" w:rsidRDefault="009E4D35" w:rsidP="0009387C">
            <w:pPr>
              <w:jc w:val="left"/>
              <w:rPr>
                <w:rFonts w:cs="Arial"/>
              </w:rPr>
            </w:pPr>
            <w:r w:rsidRPr="0009387C">
              <w:rPr>
                <w:rFonts w:cs="Arial"/>
              </w:rPr>
              <w:t>“</w:t>
            </w:r>
            <w:r w:rsidRPr="0009387C">
              <w:rPr>
                <w:rFonts w:cs="Arial"/>
                <w:b/>
              </w:rPr>
              <w:t>Depositary</w:t>
            </w:r>
            <w:r w:rsidRPr="0009387C">
              <w:rPr>
                <w:rFonts w:cs="Arial"/>
              </w:rPr>
              <w:t>”</w:t>
            </w:r>
          </w:p>
        </w:tc>
        <w:tc>
          <w:tcPr>
            <w:tcW w:w="7040" w:type="dxa"/>
          </w:tcPr>
          <w:p w:rsidR="009E4D35" w:rsidRPr="0009387C" w:rsidRDefault="009E4D35" w:rsidP="0009387C">
            <w:pPr>
              <w:spacing w:after="0"/>
              <w:rPr>
                <w:rFonts w:cs="Arial"/>
              </w:rPr>
            </w:pPr>
            <w:r w:rsidRPr="0009387C">
              <w:rPr>
                <w:rFonts w:cs="Arial"/>
              </w:rPr>
              <w:t xml:space="preserve">National Westminster Bank Plc in its capacity as the depositary of </w:t>
            </w:r>
            <w:r w:rsidR="00E15715">
              <w:rPr>
                <w:rFonts w:cs="Arial"/>
              </w:rPr>
              <w:t>the Continuing Fund</w:t>
            </w:r>
            <w:r w:rsidRPr="0009387C">
              <w:rPr>
                <w:rFonts w:cs="Arial"/>
              </w:rPr>
              <w:t>;</w:t>
            </w:r>
          </w:p>
          <w:p w:rsidR="009E4D35" w:rsidRPr="0009387C" w:rsidRDefault="009E4D35" w:rsidP="0009387C">
            <w:pPr>
              <w:spacing w:after="0"/>
              <w:rPr>
                <w:rFonts w:cs="Arial"/>
              </w:rPr>
            </w:pPr>
          </w:p>
        </w:tc>
      </w:tr>
      <w:tr w:rsidR="009E4D35" w:rsidRPr="0009387C" w:rsidTr="006C1504">
        <w:tc>
          <w:tcPr>
            <w:tcW w:w="2090" w:type="dxa"/>
          </w:tcPr>
          <w:p w:rsidR="009E4D35" w:rsidRPr="0009387C" w:rsidRDefault="009E4D35" w:rsidP="0009387C">
            <w:pPr>
              <w:jc w:val="left"/>
              <w:rPr>
                <w:rFonts w:cs="Arial"/>
              </w:rPr>
            </w:pPr>
            <w:r w:rsidRPr="0009387C">
              <w:rPr>
                <w:rFonts w:cs="Arial"/>
              </w:rPr>
              <w:t>“</w:t>
            </w:r>
            <w:r w:rsidRPr="0009387C">
              <w:rPr>
                <w:rFonts w:cs="Arial"/>
                <w:b/>
              </w:rPr>
              <w:t>Discontinuing Fund</w:t>
            </w:r>
            <w:r w:rsidRPr="0009387C">
              <w:rPr>
                <w:rFonts w:cs="Arial"/>
              </w:rPr>
              <w:t>”</w:t>
            </w:r>
          </w:p>
        </w:tc>
        <w:tc>
          <w:tcPr>
            <w:tcW w:w="7040" w:type="dxa"/>
          </w:tcPr>
          <w:p w:rsidR="009E4D35" w:rsidRPr="0009387C" w:rsidRDefault="009E4D35" w:rsidP="00A15AC1">
            <w:pPr>
              <w:rPr>
                <w:rFonts w:cs="Arial"/>
              </w:rPr>
            </w:pPr>
            <w:r w:rsidRPr="0009387C">
              <w:rPr>
                <w:rFonts w:cs="Arial"/>
              </w:rPr>
              <w:t xml:space="preserve">Old Mutual </w:t>
            </w:r>
            <w:r w:rsidR="00A15AC1">
              <w:rPr>
                <w:rFonts w:cs="Arial"/>
              </w:rPr>
              <w:t>Property Fund</w:t>
            </w:r>
            <w:r w:rsidRPr="0009387C">
              <w:rPr>
                <w:rFonts w:cs="Arial"/>
              </w:rPr>
              <w:t xml:space="preserve">; </w:t>
            </w:r>
          </w:p>
        </w:tc>
      </w:tr>
      <w:tr w:rsidR="009E4D35" w:rsidRPr="0009387C" w:rsidTr="006C1504">
        <w:tc>
          <w:tcPr>
            <w:tcW w:w="2090" w:type="dxa"/>
          </w:tcPr>
          <w:p w:rsidR="009E4D35" w:rsidRDefault="009E4D35" w:rsidP="0009387C">
            <w:pPr>
              <w:jc w:val="left"/>
              <w:rPr>
                <w:rFonts w:cs="Arial"/>
              </w:rPr>
            </w:pPr>
            <w:r w:rsidRPr="0009387C">
              <w:rPr>
                <w:rFonts w:cs="Arial"/>
              </w:rPr>
              <w:t>“</w:t>
            </w:r>
            <w:r w:rsidRPr="0009387C">
              <w:rPr>
                <w:rFonts w:cs="Arial"/>
                <w:b/>
              </w:rPr>
              <w:t>Effective Time</w:t>
            </w:r>
            <w:r w:rsidRPr="0009387C">
              <w:rPr>
                <w:rFonts w:cs="Arial"/>
              </w:rPr>
              <w:t>”</w:t>
            </w:r>
          </w:p>
          <w:p w:rsidR="00EF3CCE" w:rsidRDefault="00EF3CCE" w:rsidP="00EF3CCE">
            <w:pPr>
              <w:spacing w:after="0"/>
              <w:jc w:val="left"/>
              <w:rPr>
                <w:rFonts w:cs="Arial"/>
              </w:rPr>
            </w:pPr>
          </w:p>
          <w:p w:rsidR="00290C5C" w:rsidRDefault="00290C5C" w:rsidP="00EF3CCE">
            <w:pPr>
              <w:spacing w:after="0"/>
              <w:jc w:val="left"/>
              <w:rPr>
                <w:rFonts w:cs="Arial"/>
              </w:rPr>
            </w:pPr>
          </w:p>
          <w:p w:rsidR="00EF3CCE" w:rsidRPr="0009387C" w:rsidRDefault="00EF3CCE" w:rsidP="00EF3CCE">
            <w:pPr>
              <w:spacing w:after="0"/>
              <w:jc w:val="left"/>
              <w:rPr>
                <w:rFonts w:cs="Arial"/>
              </w:rPr>
            </w:pPr>
            <w:r w:rsidRPr="0009387C">
              <w:rPr>
                <w:rFonts w:cs="Arial"/>
              </w:rPr>
              <w:t>“</w:t>
            </w:r>
            <w:r w:rsidRPr="0009387C">
              <w:rPr>
                <w:rFonts w:cs="Arial"/>
                <w:b/>
              </w:rPr>
              <w:t xml:space="preserve">Effective </w:t>
            </w:r>
            <w:r>
              <w:rPr>
                <w:rFonts w:cs="Arial"/>
                <w:b/>
              </w:rPr>
              <w:t>Date</w:t>
            </w:r>
            <w:r w:rsidRPr="0009387C">
              <w:rPr>
                <w:rFonts w:cs="Arial"/>
              </w:rPr>
              <w:t>”</w:t>
            </w:r>
          </w:p>
        </w:tc>
        <w:tc>
          <w:tcPr>
            <w:tcW w:w="7040" w:type="dxa"/>
          </w:tcPr>
          <w:p w:rsidR="009E4D35" w:rsidRDefault="009E4D35" w:rsidP="002F4F49">
            <w:pPr>
              <w:rPr>
                <w:rFonts w:cs="Arial"/>
              </w:rPr>
            </w:pPr>
            <w:r w:rsidRPr="0009387C">
              <w:rPr>
                <w:rFonts w:cs="Arial"/>
              </w:rPr>
              <w:t xml:space="preserve">immediately after 12 noon on </w:t>
            </w:r>
            <w:r w:rsidR="00581FAD">
              <w:rPr>
                <w:rFonts w:cs="Arial"/>
              </w:rPr>
              <w:t>1</w:t>
            </w:r>
            <w:r w:rsidR="002F4F49">
              <w:rPr>
                <w:rFonts w:cs="Arial"/>
              </w:rPr>
              <w:t>5</w:t>
            </w:r>
            <w:r w:rsidR="00581FAD">
              <w:rPr>
                <w:rFonts w:cs="Arial"/>
              </w:rPr>
              <w:t xml:space="preserve"> January 2015</w:t>
            </w:r>
            <w:r w:rsidRPr="0009387C">
              <w:rPr>
                <w:rFonts w:cs="Arial"/>
              </w:rPr>
              <w:t>, or such subsequent date and time as may be agreed in writing between the Manager</w:t>
            </w:r>
            <w:r w:rsidR="00A46302">
              <w:rPr>
                <w:rFonts w:cs="Arial"/>
              </w:rPr>
              <w:t xml:space="preserve">, </w:t>
            </w:r>
            <w:r w:rsidRPr="0009387C">
              <w:rPr>
                <w:rFonts w:cs="Arial"/>
              </w:rPr>
              <w:t>the Trustee</w:t>
            </w:r>
            <w:r w:rsidR="00A46302">
              <w:rPr>
                <w:rFonts w:cs="Arial"/>
              </w:rPr>
              <w:t>, the ACD and the Depositary</w:t>
            </w:r>
            <w:r w:rsidRPr="0009387C">
              <w:rPr>
                <w:rFonts w:cs="Arial"/>
              </w:rPr>
              <w:t xml:space="preserve">;  </w:t>
            </w:r>
          </w:p>
          <w:p w:rsidR="00EF3CCE" w:rsidRPr="0009387C" w:rsidRDefault="00581FAD" w:rsidP="002F4F49">
            <w:pPr>
              <w:rPr>
                <w:rFonts w:cs="Arial"/>
              </w:rPr>
            </w:pPr>
            <w:r>
              <w:rPr>
                <w:rFonts w:cs="Arial"/>
              </w:rPr>
              <w:t>1</w:t>
            </w:r>
            <w:r w:rsidR="002F4F49">
              <w:rPr>
                <w:rFonts w:cs="Arial"/>
              </w:rPr>
              <w:t>5</w:t>
            </w:r>
            <w:r>
              <w:rPr>
                <w:rFonts w:cs="Arial"/>
              </w:rPr>
              <w:t xml:space="preserve"> January</w:t>
            </w:r>
            <w:r w:rsidR="00EF3CCE" w:rsidRPr="0009387C">
              <w:rPr>
                <w:rFonts w:cs="Arial"/>
              </w:rPr>
              <w:t xml:space="preserve"> 201</w:t>
            </w:r>
            <w:r>
              <w:rPr>
                <w:rFonts w:cs="Arial"/>
              </w:rPr>
              <w:t>5</w:t>
            </w:r>
            <w:r w:rsidR="00EF3CCE">
              <w:rPr>
                <w:spacing w:val="-2"/>
              </w:rPr>
              <w:t xml:space="preserve"> or the date upon which the conditions set out in this circular are fully satisfied whichever is the later, or such subsequent date as may be agreed in writing between the </w:t>
            </w:r>
            <w:r w:rsidR="00A46302">
              <w:rPr>
                <w:spacing w:val="-2"/>
              </w:rPr>
              <w:t xml:space="preserve">Manager, the </w:t>
            </w:r>
            <w:r w:rsidR="00EF3CCE">
              <w:rPr>
                <w:spacing w:val="-2"/>
              </w:rPr>
              <w:t>Trustee</w:t>
            </w:r>
            <w:r w:rsidR="005D3A5E">
              <w:rPr>
                <w:spacing w:val="-2"/>
              </w:rPr>
              <w:t>,</w:t>
            </w:r>
            <w:r w:rsidR="00EF3CCE">
              <w:rPr>
                <w:spacing w:val="-2"/>
              </w:rPr>
              <w:t xml:space="preserve"> </w:t>
            </w:r>
            <w:r w:rsidR="005D3A5E">
              <w:rPr>
                <w:spacing w:val="-2"/>
              </w:rPr>
              <w:t>the ACD and the Depositary</w:t>
            </w:r>
            <w:r w:rsidR="00EF3CCE">
              <w:rPr>
                <w:spacing w:val="-2"/>
              </w:rPr>
              <w:t>;</w:t>
            </w:r>
          </w:p>
        </w:tc>
      </w:tr>
      <w:tr w:rsidR="009E4D35" w:rsidRPr="0009387C" w:rsidTr="006C1504">
        <w:tc>
          <w:tcPr>
            <w:tcW w:w="2090" w:type="dxa"/>
          </w:tcPr>
          <w:p w:rsidR="009E4D35" w:rsidRPr="0009387C" w:rsidRDefault="009E4D35" w:rsidP="00135EF3">
            <w:pPr>
              <w:jc w:val="left"/>
              <w:rPr>
                <w:rFonts w:cs="Arial"/>
              </w:rPr>
            </w:pPr>
            <w:r w:rsidRPr="0009387C">
              <w:rPr>
                <w:rFonts w:cs="Arial"/>
              </w:rPr>
              <w:t>“</w:t>
            </w:r>
            <w:r w:rsidRPr="0009387C">
              <w:rPr>
                <w:rFonts w:cs="Arial"/>
                <w:b/>
              </w:rPr>
              <w:t>Extraordinary Resolution</w:t>
            </w:r>
            <w:r w:rsidRPr="0009387C">
              <w:rPr>
                <w:rFonts w:cs="Arial"/>
              </w:rPr>
              <w:t>”</w:t>
            </w:r>
          </w:p>
        </w:tc>
        <w:tc>
          <w:tcPr>
            <w:tcW w:w="7040" w:type="dxa"/>
          </w:tcPr>
          <w:p w:rsidR="009E4D35" w:rsidRPr="0009387C" w:rsidRDefault="00526093" w:rsidP="00281983">
            <w:pPr>
              <w:rPr>
                <w:rFonts w:cs="Arial"/>
              </w:rPr>
            </w:pPr>
            <w:r w:rsidRPr="00526093">
              <w:rPr>
                <w:rFonts w:cs="Arial"/>
              </w:rPr>
              <w:t xml:space="preserve">the Extraordinary Resolution of </w:t>
            </w:r>
            <w:r w:rsidR="00281983">
              <w:rPr>
                <w:rFonts w:cs="Arial"/>
              </w:rPr>
              <w:t>Unit</w:t>
            </w:r>
            <w:r w:rsidR="00281983" w:rsidRPr="00526093">
              <w:rPr>
                <w:rFonts w:cs="Arial"/>
              </w:rPr>
              <w:t>holders</w:t>
            </w:r>
            <w:r w:rsidRPr="00526093">
              <w:rPr>
                <w:rFonts w:cs="Arial"/>
              </w:rPr>
              <w:t xml:space="preserve"> of the Discontinuing Fund set out in the Notice of Meeting of </w:t>
            </w:r>
            <w:r w:rsidR="008F75A6">
              <w:rPr>
                <w:rFonts w:cs="Arial"/>
              </w:rPr>
              <w:t>Unit</w:t>
            </w:r>
            <w:r w:rsidRPr="00526093">
              <w:rPr>
                <w:rFonts w:cs="Arial"/>
              </w:rPr>
              <w:t xml:space="preserve">holders which appears in </w:t>
            </w:r>
            <w:r>
              <w:rPr>
                <w:rFonts w:cs="Arial"/>
              </w:rPr>
              <w:t>appendix D to this</w:t>
            </w:r>
            <w:r w:rsidRPr="00526093">
              <w:rPr>
                <w:rFonts w:cs="Arial"/>
              </w:rPr>
              <w:t xml:space="preserve"> </w:t>
            </w:r>
            <w:r>
              <w:rPr>
                <w:rFonts w:cs="Arial"/>
              </w:rPr>
              <w:t>c</w:t>
            </w:r>
            <w:r w:rsidRPr="00526093">
              <w:rPr>
                <w:rFonts w:cs="Arial"/>
              </w:rPr>
              <w:t>ircular</w:t>
            </w:r>
            <w:r w:rsidR="009E4D35" w:rsidRPr="0009387C">
              <w:rPr>
                <w:rFonts w:cs="Arial"/>
              </w:rPr>
              <w:t>;</w:t>
            </w:r>
          </w:p>
        </w:tc>
      </w:tr>
      <w:tr w:rsidR="009E4D35" w:rsidRPr="0009387C" w:rsidTr="006C1504">
        <w:tc>
          <w:tcPr>
            <w:tcW w:w="2090" w:type="dxa"/>
          </w:tcPr>
          <w:p w:rsidR="009E4D35" w:rsidRDefault="009E4D35" w:rsidP="0009387C">
            <w:pPr>
              <w:jc w:val="left"/>
              <w:rPr>
                <w:rFonts w:cs="Arial"/>
              </w:rPr>
            </w:pPr>
            <w:r w:rsidRPr="0009387C">
              <w:rPr>
                <w:rFonts w:cs="Arial"/>
              </w:rPr>
              <w:t>“</w:t>
            </w:r>
            <w:r w:rsidRPr="0009387C">
              <w:rPr>
                <w:rFonts w:cs="Arial"/>
                <w:b/>
              </w:rPr>
              <w:t>FCA</w:t>
            </w:r>
            <w:r w:rsidRPr="0009387C">
              <w:rPr>
                <w:rFonts w:cs="Arial"/>
              </w:rPr>
              <w:t>”</w:t>
            </w:r>
          </w:p>
          <w:p w:rsidR="008F75A6" w:rsidRPr="0009387C" w:rsidRDefault="008F75A6" w:rsidP="0009387C">
            <w:pPr>
              <w:jc w:val="left"/>
              <w:rPr>
                <w:rFonts w:cs="Arial"/>
              </w:rPr>
            </w:pPr>
            <w:r>
              <w:rPr>
                <w:rFonts w:cs="Arial"/>
              </w:rPr>
              <w:t>“</w:t>
            </w:r>
            <w:r w:rsidRPr="008F75A6">
              <w:rPr>
                <w:rFonts w:cs="Arial"/>
                <w:b/>
              </w:rPr>
              <w:t>Form of Proxy</w:t>
            </w:r>
            <w:r>
              <w:rPr>
                <w:rFonts w:cs="Arial"/>
              </w:rPr>
              <w:t>”</w:t>
            </w:r>
          </w:p>
        </w:tc>
        <w:tc>
          <w:tcPr>
            <w:tcW w:w="7040" w:type="dxa"/>
          </w:tcPr>
          <w:p w:rsidR="009E4D35" w:rsidRDefault="009E4D35" w:rsidP="0009387C">
            <w:pPr>
              <w:rPr>
                <w:rFonts w:cs="Arial"/>
              </w:rPr>
            </w:pPr>
            <w:r w:rsidRPr="0009387C">
              <w:rPr>
                <w:rFonts w:cs="Arial"/>
              </w:rPr>
              <w:t>the Financial Conduct Authority, or any successor regulatory body;</w:t>
            </w:r>
          </w:p>
          <w:p w:rsidR="008F75A6" w:rsidRPr="0009387C" w:rsidRDefault="008F75A6" w:rsidP="0009387C">
            <w:pPr>
              <w:rPr>
                <w:rFonts w:cs="Arial"/>
                <w:noProof/>
                <w:lang w:val="en-US"/>
              </w:rPr>
            </w:pPr>
            <w:r>
              <w:rPr>
                <w:rFonts w:cs="Arial"/>
              </w:rPr>
              <w:t>form to be completed and lodged with the Manager which appears in appendix E;</w:t>
            </w:r>
          </w:p>
        </w:tc>
      </w:tr>
      <w:tr w:rsidR="009E4D35" w:rsidRPr="0009387C" w:rsidTr="006C1504">
        <w:tc>
          <w:tcPr>
            <w:tcW w:w="2090" w:type="dxa"/>
          </w:tcPr>
          <w:p w:rsidR="009E4D35" w:rsidRPr="0009387C" w:rsidRDefault="009E4D35" w:rsidP="0009387C">
            <w:pPr>
              <w:jc w:val="left"/>
              <w:rPr>
                <w:rFonts w:cs="Arial"/>
                <w:b/>
              </w:rPr>
            </w:pPr>
            <w:r w:rsidRPr="0009387C">
              <w:rPr>
                <w:rFonts w:cs="Arial"/>
                <w:b/>
              </w:rPr>
              <w:t>“Fund”</w:t>
            </w:r>
          </w:p>
        </w:tc>
        <w:tc>
          <w:tcPr>
            <w:tcW w:w="7040" w:type="dxa"/>
          </w:tcPr>
          <w:p w:rsidR="009E4D35" w:rsidRPr="0009387C" w:rsidRDefault="009E4D35" w:rsidP="0009387C">
            <w:pPr>
              <w:rPr>
                <w:rFonts w:cs="Arial"/>
              </w:rPr>
            </w:pPr>
            <w:r w:rsidRPr="0009387C">
              <w:rPr>
                <w:rFonts w:cs="Arial"/>
              </w:rPr>
              <w:t>the Discontinuing Fund or the Continuing Fund, as the context requires;</w:t>
            </w:r>
          </w:p>
        </w:tc>
      </w:tr>
      <w:tr w:rsidR="00436E9E" w:rsidRPr="0009387C" w:rsidTr="006C1504">
        <w:tc>
          <w:tcPr>
            <w:tcW w:w="2090" w:type="dxa"/>
          </w:tcPr>
          <w:p w:rsidR="00436E9E" w:rsidRPr="0009387C" w:rsidRDefault="00436E9E" w:rsidP="0009387C">
            <w:pPr>
              <w:jc w:val="left"/>
              <w:rPr>
                <w:rFonts w:cs="Arial"/>
                <w:b/>
              </w:rPr>
            </w:pPr>
            <w:r>
              <w:rPr>
                <w:rFonts w:cs="Arial"/>
                <w:b/>
              </w:rPr>
              <w:t>“HMRC”</w:t>
            </w:r>
          </w:p>
        </w:tc>
        <w:tc>
          <w:tcPr>
            <w:tcW w:w="7040" w:type="dxa"/>
          </w:tcPr>
          <w:p w:rsidR="00436E9E" w:rsidRPr="0009387C" w:rsidRDefault="00436E9E" w:rsidP="0009387C">
            <w:pPr>
              <w:rPr>
                <w:rFonts w:cs="Arial"/>
              </w:rPr>
            </w:pPr>
            <w:r>
              <w:rPr>
                <w:rFonts w:cs="Arial"/>
              </w:rPr>
              <w:t>Her Majesty’s Revenue and Customs;</w:t>
            </w:r>
          </w:p>
        </w:tc>
      </w:tr>
      <w:tr w:rsidR="009E4D35" w:rsidRPr="0009387C" w:rsidTr="006C1504">
        <w:tc>
          <w:tcPr>
            <w:tcW w:w="2090" w:type="dxa"/>
          </w:tcPr>
          <w:p w:rsidR="009E4D35" w:rsidRPr="0009387C" w:rsidRDefault="009E4D35" w:rsidP="0009387C">
            <w:pPr>
              <w:spacing w:after="0"/>
              <w:jc w:val="left"/>
              <w:rPr>
                <w:rFonts w:cs="Arial"/>
              </w:rPr>
            </w:pPr>
            <w:r w:rsidRPr="0009387C">
              <w:rPr>
                <w:rFonts w:cs="Arial"/>
              </w:rPr>
              <w:t>“</w:t>
            </w:r>
            <w:r w:rsidRPr="0009387C">
              <w:rPr>
                <w:rFonts w:cs="Arial"/>
                <w:b/>
              </w:rPr>
              <w:t>Incorporation Documents</w:t>
            </w:r>
            <w:r w:rsidRPr="0009387C">
              <w:rPr>
                <w:rFonts w:cs="Arial"/>
              </w:rPr>
              <w:t>”</w:t>
            </w:r>
          </w:p>
          <w:p w:rsidR="009E4D35" w:rsidRPr="0009387C" w:rsidRDefault="009E4D35" w:rsidP="0009387C">
            <w:pPr>
              <w:spacing w:after="0"/>
              <w:jc w:val="left"/>
              <w:rPr>
                <w:rFonts w:cs="Arial"/>
              </w:rPr>
            </w:pPr>
          </w:p>
        </w:tc>
        <w:tc>
          <w:tcPr>
            <w:tcW w:w="7040" w:type="dxa"/>
          </w:tcPr>
          <w:p w:rsidR="009E4D35" w:rsidRPr="0009387C" w:rsidRDefault="009E4D35" w:rsidP="00A15AC1">
            <w:pPr>
              <w:rPr>
                <w:rFonts w:cs="Arial"/>
              </w:rPr>
            </w:pPr>
            <w:r w:rsidRPr="0009387C">
              <w:rPr>
                <w:rFonts w:cs="Arial"/>
              </w:rPr>
              <w:t xml:space="preserve">the instrument of incorporation of </w:t>
            </w:r>
            <w:r w:rsidR="00A15AC1">
              <w:rPr>
                <w:rFonts w:cs="Arial"/>
              </w:rPr>
              <w:t>the Continuing Fund</w:t>
            </w:r>
            <w:r w:rsidRPr="0009387C">
              <w:rPr>
                <w:rFonts w:cs="Arial"/>
              </w:rPr>
              <w:t xml:space="preserve"> or the trust deed of </w:t>
            </w:r>
            <w:r w:rsidR="00A15AC1">
              <w:rPr>
                <w:rFonts w:cs="Arial"/>
              </w:rPr>
              <w:t>the Discontinuing Fund</w:t>
            </w:r>
            <w:r w:rsidRPr="0009387C">
              <w:rPr>
                <w:rFonts w:cs="Arial"/>
              </w:rPr>
              <w:t>, as the context requires;</w:t>
            </w:r>
          </w:p>
        </w:tc>
      </w:tr>
      <w:tr w:rsidR="009E4D35" w:rsidRPr="0009387C" w:rsidTr="006C1504">
        <w:tc>
          <w:tcPr>
            <w:tcW w:w="2090" w:type="dxa"/>
          </w:tcPr>
          <w:p w:rsidR="009E4D35" w:rsidRPr="0009387C" w:rsidRDefault="009E4D35" w:rsidP="0009387C">
            <w:pPr>
              <w:jc w:val="left"/>
              <w:rPr>
                <w:rFonts w:cs="Arial"/>
                <w:spacing w:val="1"/>
              </w:rPr>
            </w:pPr>
            <w:r w:rsidRPr="0009387C">
              <w:rPr>
                <w:rFonts w:cs="Arial"/>
              </w:rPr>
              <w:t>“</w:t>
            </w:r>
            <w:r w:rsidRPr="0009387C">
              <w:rPr>
                <w:rFonts w:cs="Arial"/>
                <w:b/>
              </w:rPr>
              <w:t>Manager</w:t>
            </w:r>
            <w:r w:rsidRPr="0009387C">
              <w:rPr>
                <w:rFonts w:cs="Arial"/>
              </w:rPr>
              <w:t>”</w:t>
            </w:r>
          </w:p>
        </w:tc>
        <w:tc>
          <w:tcPr>
            <w:tcW w:w="7040" w:type="dxa"/>
          </w:tcPr>
          <w:p w:rsidR="009E4D35" w:rsidRPr="0009387C" w:rsidRDefault="009E4D35" w:rsidP="00A15AC1">
            <w:pPr>
              <w:rPr>
                <w:rFonts w:cs="Arial"/>
                <w:noProof/>
                <w:lang w:val="en-US"/>
              </w:rPr>
            </w:pPr>
            <w:r w:rsidRPr="0009387C">
              <w:rPr>
                <w:rFonts w:cs="Arial"/>
                <w:noProof/>
                <w:lang w:val="en-US"/>
              </w:rPr>
              <w:t xml:space="preserve">Old Mutual Investment Management Limited, as the manager of </w:t>
            </w:r>
            <w:r w:rsidR="00A15AC1">
              <w:rPr>
                <w:rFonts w:cs="Arial"/>
                <w:noProof/>
                <w:lang w:val="en-US"/>
              </w:rPr>
              <w:t>the Discontinuing Fund</w:t>
            </w:r>
            <w:r w:rsidRPr="0009387C">
              <w:rPr>
                <w:rFonts w:cs="Arial"/>
                <w:noProof/>
                <w:lang w:val="en-US"/>
              </w:rPr>
              <w:t>;</w:t>
            </w:r>
          </w:p>
        </w:tc>
      </w:tr>
      <w:tr w:rsidR="009E4D35" w:rsidRPr="0009387C" w:rsidTr="006C1504">
        <w:tc>
          <w:tcPr>
            <w:tcW w:w="2090" w:type="dxa"/>
          </w:tcPr>
          <w:p w:rsidR="009E4D35" w:rsidRPr="0009387C" w:rsidRDefault="009E4D35" w:rsidP="0009387C">
            <w:pPr>
              <w:jc w:val="left"/>
              <w:rPr>
                <w:rFonts w:cs="Arial"/>
              </w:rPr>
            </w:pPr>
            <w:r w:rsidRPr="0009387C">
              <w:rPr>
                <w:rFonts w:cs="Arial"/>
              </w:rPr>
              <w:t>“</w:t>
            </w:r>
            <w:r w:rsidRPr="0009387C">
              <w:rPr>
                <w:rFonts w:cs="Arial"/>
                <w:b/>
              </w:rPr>
              <w:t>month</w:t>
            </w:r>
            <w:r w:rsidRPr="0009387C">
              <w:rPr>
                <w:rFonts w:cs="Arial"/>
              </w:rPr>
              <w:t>”</w:t>
            </w:r>
          </w:p>
        </w:tc>
        <w:tc>
          <w:tcPr>
            <w:tcW w:w="7040" w:type="dxa"/>
          </w:tcPr>
          <w:p w:rsidR="009E4D35" w:rsidRPr="0009387C" w:rsidRDefault="009E4D35" w:rsidP="0009387C">
            <w:pPr>
              <w:rPr>
                <w:rFonts w:cs="Arial"/>
                <w:noProof/>
                <w:lang w:val="en-US"/>
              </w:rPr>
            </w:pPr>
            <w:r w:rsidRPr="0009387C">
              <w:rPr>
                <w:rFonts w:cs="Arial"/>
              </w:rPr>
              <w:t>a calendar month;</w:t>
            </w:r>
          </w:p>
        </w:tc>
      </w:tr>
      <w:tr w:rsidR="009E4D35" w:rsidRPr="0009387C" w:rsidTr="006C1504">
        <w:tc>
          <w:tcPr>
            <w:tcW w:w="2090" w:type="dxa"/>
          </w:tcPr>
          <w:p w:rsidR="009E4D35" w:rsidRPr="0009387C" w:rsidRDefault="009E4D35" w:rsidP="0009387C">
            <w:pPr>
              <w:rPr>
                <w:rFonts w:cs="Arial"/>
              </w:rPr>
            </w:pPr>
            <w:r w:rsidRPr="0009387C">
              <w:rPr>
                <w:rFonts w:cs="Arial"/>
              </w:rPr>
              <w:t>“</w:t>
            </w:r>
            <w:r w:rsidRPr="0009387C">
              <w:rPr>
                <w:rFonts w:cs="Arial"/>
                <w:b/>
              </w:rPr>
              <w:t>Net Asset Value</w:t>
            </w:r>
            <w:r w:rsidRPr="0009387C">
              <w:rPr>
                <w:rFonts w:cs="Arial"/>
              </w:rPr>
              <w:t>”</w:t>
            </w:r>
          </w:p>
        </w:tc>
        <w:tc>
          <w:tcPr>
            <w:tcW w:w="7040" w:type="dxa"/>
          </w:tcPr>
          <w:p w:rsidR="009E4D35" w:rsidRPr="0009387C" w:rsidRDefault="009E4D35" w:rsidP="0009387C">
            <w:pPr>
              <w:rPr>
                <w:rFonts w:cs="Arial"/>
              </w:rPr>
            </w:pPr>
            <w:r w:rsidRPr="0009387C">
              <w:rPr>
                <w:rFonts w:cs="Arial"/>
              </w:rPr>
              <w:t>the value of the assets of the Discontinuing Fund or the Continuing Fund, as applicable, after deduction of the value of its liabilities;</w:t>
            </w:r>
          </w:p>
        </w:tc>
      </w:tr>
      <w:tr w:rsidR="005D3A5E" w:rsidRPr="0009387C" w:rsidTr="006C1504">
        <w:tc>
          <w:tcPr>
            <w:tcW w:w="2090" w:type="dxa"/>
          </w:tcPr>
          <w:p w:rsidR="005D3A5E" w:rsidRPr="00734A74" w:rsidRDefault="005D3A5E" w:rsidP="0009387C">
            <w:pPr>
              <w:rPr>
                <w:rFonts w:cs="Arial"/>
                <w:b/>
              </w:rPr>
            </w:pPr>
            <w:r w:rsidRPr="00734A74">
              <w:rPr>
                <w:rFonts w:cs="Arial"/>
                <w:b/>
              </w:rPr>
              <w:t>“NURS KII”</w:t>
            </w:r>
          </w:p>
        </w:tc>
        <w:tc>
          <w:tcPr>
            <w:tcW w:w="7040" w:type="dxa"/>
          </w:tcPr>
          <w:p w:rsidR="005D3A5E" w:rsidRPr="0009387C" w:rsidRDefault="005D3A5E" w:rsidP="0009387C">
            <w:pPr>
              <w:rPr>
                <w:rFonts w:cs="Arial"/>
              </w:rPr>
            </w:pPr>
            <w:r>
              <w:rPr>
                <w:rFonts w:cs="Arial"/>
              </w:rPr>
              <w:t>the NURS Key Investor Information, a document providing information to investors about a fund prior to investment;</w:t>
            </w:r>
          </w:p>
        </w:tc>
      </w:tr>
      <w:tr w:rsidR="009E4D35" w:rsidRPr="0009387C" w:rsidTr="006C1504">
        <w:tc>
          <w:tcPr>
            <w:tcW w:w="2090" w:type="dxa"/>
          </w:tcPr>
          <w:p w:rsidR="009E4D35" w:rsidRPr="0009387C" w:rsidRDefault="009E4D35" w:rsidP="0009387C">
            <w:pPr>
              <w:jc w:val="left"/>
              <w:rPr>
                <w:rFonts w:cs="Arial"/>
              </w:rPr>
            </w:pPr>
            <w:r w:rsidRPr="0009387C">
              <w:rPr>
                <w:rFonts w:cs="Arial"/>
              </w:rPr>
              <w:t>“</w:t>
            </w:r>
            <w:r w:rsidRPr="0009387C">
              <w:rPr>
                <w:rFonts w:cs="Arial"/>
                <w:b/>
              </w:rPr>
              <w:t>Property</w:t>
            </w:r>
            <w:r w:rsidRPr="0009387C">
              <w:rPr>
                <w:rFonts w:cs="Arial"/>
              </w:rPr>
              <w:t>”</w:t>
            </w:r>
          </w:p>
        </w:tc>
        <w:tc>
          <w:tcPr>
            <w:tcW w:w="7040" w:type="dxa"/>
          </w:tcPr>
          <w:p w:rsidR="009E4D35" w:rsidRPr="0009387C" w:rsidRDefault="009E4D35" w:rsidP="0009387C">
            <w:pPr>
              <w:rPr>
                <w:rFonts w:cs="Arial"/>
              </w:rPr>
            </w:pPr>
            <w:r w:rsidRPr="0009387C">
              <w:rPr>
                <w:rFonts w:cs="Arial"/>
              </w:rPr>
              <w:t>the scheme property of the Discontinuing Fund or the Continuing Fund, as the context requires;</w:t>
            </w:r>
          </w:p>
        </w:tc>
      </w:tr>
      <w:tr w:rsidR="009E4D35" w:rsidRPr="0009387C" w:rsidTr="006C1504">
        <w:tc>
          <w:tcPr>
            <w:tcW w:w="2090" w:type="dxa"/>
          </w:tcPr>
          <w:p w:rsidR="009E4D35" w:rsidRPr="0009387C" w:rsidRDefault="009E4D35" w:rsidP="0009387C">
            <w:pPr>
              <w:jc w:val="left"/>
              <w:rPr>
                <w:rFonts w:cs="Arial"/>
              </w:rPr>
            </w:pPr>
            <w:r w:rsidRPr="0009387C">
              <w:rPr>
                <w:rFonts w:cs="Arial"/>
              </w:rPr>
              <w:t>“</w:t>
            </w:r>
            <w:r w:rsidRPr="0009387C">
              <w:rPr>
                <w:rFonts w:cs="Arial"/>
                <w:b/>
              </w:rPr>
              <w:t>Prospectus</w:t>
            </w:r>
            <w:r w:rsidRPr="0009387C">
              <w:rPr>
                <w:rFonts w:cs="Arial"/>
              </w:rPr>
              <w:t>”</w:t>
            </w:r>
          </w:p>
        </w:tc>
        <w:tc>
          <w:tcPr>
            <w:tcW w:w="7040" w:type="dxa"/>
          </w:tcPr>
          <w:p w:rsidR="009E4D35" w:rsidRPr="0009387C" w:rsidRDefault="009E4D35" w:rsidP="0009387C">
            <w:pPr>
              <w:rPr>
                <w:rFonts w:cs="Arial"/>
              </w:rPr>
            </w:pPr>
            <w:r w:rsidRPr="0009387C">
              <w:rPr>
                <w:rFonts w:cs="Arial"/>
              </w:rPr>
              <w:t xml:space="preserve">the current prospectus of </w:t>
            </w:r>
            <w:r w:rsidR="00A15AC1" w:rsidRPr="0009387C">
              <w:rPr>
                <w:rFonts w:cs="Arial"/>
              </w:rPr>
              <w:t>the Discontinuing Fund or the Continuing Fund</w:t>
            </w:r>
            <w:r w:rsidRPr="0009387C">
              <w:rPr>
                <w:rFonts w:cs="Arial"/>
              </w:rPr>
              <w:t xml:space="preserve">, as </w:t>
            </w:r>
            <w:r w:rsidRPr="0009387C">
              <w:rPr>
                <w:rFonts w:cs="Arial"/>
              </w:rPr>
              <w:lastRenderedPageBreak/>
              <w:t>the context requires;</w:t>
            </w:r>
          </w:p>
        </w:tc>
      </w:tr>
      <w:tr w:rsidR="009E4D35" w:rsidRPr="0009387C" w:rsidTr="006C1504">
        <w:tc>
          <w:tcPr>
            <w:tcW w:w="2090" w:type="dxa"/>
          </w:tcPr>
          <w:p w:rsidR="009E4D35" w:rsidRPr="0009387C" w:rsidRDefault="009E4D35" w:rsidP="0009387C">
            <w:pPr>
              <w:rPr>
                <w:rFonts w:cs="Arial"/>
              </w:rPr>
            </w:pPr>
            <w:r w:rsidRPr="0009387C">
              <w:rPr>
                <w:rFonts w:cs="Arial"/>
              </w:rPr>
              <w:lastRenderedPageBreak/>
              <w:t>“</w:t>
            </w:r>
            <w:r w:rsidRPr="0009387C">
              <w:rPr>
                <w:rFonts w:cs="Arial"/>
                <w:b/>
              </w:rPr>
              <w:t>Regulations</w:t>
            </w:r>
            <w:r w:rsidRPr="0009387C">
              <w:rPr>
                <w:rFonts w:cs="Arial"/>
              </w:rPr>
              <w:t>”</w:t>
            </w:r>
          </w:p>
        </w:tc>
        <w:tc>
          <w:tcPr>
            <w:tcW w:w="7040" w:type="dxa"/>
          </w:tcPr>
          <w:p w:rsidR="009E4D35" w:rsidRPr="0009387C" w:rsidRDefault="009E4D35" w:rsidP="0009387C">
            <w:pPr>
              <w:rPr>
                <w:rFonts w:cs="Arial"/>
              </w:rPr>
            </w:pPr>
            <w:r w:rsidRPr="0009387C">
              <w:rPr>
                <w:rFonts w:cs="Arial"/>
              </w:rPr>
              <w:t>the Sourcebook and, as relevant, the Open-Ended Investment Companies Regulations 2001 (SI 2001/1228);</w:t>
            </w:r>
          </w:p>
        </w:tc>
      </w:tr>
      <w:tr w:rsidR="009E4D35" w:rsidRPr="0009387C" w:rsidTr="006C1504">
        <w:tc>
          <w:tcPr>
            <w:tcW w:w="2090" w:type="dxa"/>
          </w:tcPr>
          <w:p w:rsidR="009E4D35" w:rsidRPr="0009387C" w:rsidRDefault="009E4D35" w:rsidP="0009387C">
            <w:pPr>
              <w:rPr>
                <w:rFonts w:cs="Arial"/>
                <w:bCs/>
              </w:rPr>
            </w:pPr>
            <w:r w:rsidRPr="0009387C">
              <w:rPr>
                <w:rFonts w:cs="Arial"/>
                <w:bCs/>
              </w:rPr>
              <w:t>“</w:t>
            </w:r>
            <w:r w:rsidRPr="0009387C">
              <w:rPr>
                <w:rFonts w:cs="Arial"/>
                <w:b/>
                <w:bCs/>
              </w:rPr>
              <w:t>Retained Amount</w:t>
            </w:r>
            <w:r w:rsidRPr="0009387C">
              <w:rPr>
                <w:rFonts w:cs="Arial"/>
                <w:bCs/>
              </w:rPr>
              <w:t>”</w:t>
            </w:r>
          </w:p>
        </w:tc>
        <w:tc>
          <w:tcPr>
            <w:tcW w:w="7040" w:type="dxa"/>
          </w:tcPr>
          <w:p w:rsidR="009E4D35" w:rsidRPr="0009387C" w:rsidRDefault="009E4D35" w:rsidP="0009387C">
            <w:pPr>
              <w:rPr>
                <w:rFonts w:cs="Arial"/>
              </w:rPr>
            </w:pPr>
            <w:r w:rsidRPr="0009387C">
              <w:rPr>
                <w:rFonts w:cs="Arial"/>
              </w:rPr>
              <w:t xml:space="preserve">an amount which is calculated by the Manager </w:t>
            </w:r>
            <w:r w:rsidR="005D3A5E">
              <w:rPr>
                <w:rFonts w:cs="Arial"/>
              </w:rPr>
              <w:t xml:space="preserve">(after consultation with the Trustee and the auditor) </w:t>
            </w:r>
            <w:r w:rsidRPr="0009387C">
              <w:rPr>
                <w:rFonts w:cs="Arial"/>
              </w:rPr>
              <w:t>to be necessary to meet the actual and contingent liabilities of the Discontinuing Fund, and which is to be retained by the Trustee for the purpose of discharging those liabilities;</w:t>
            </w:r>
          </w:p>
        </w:tc>
      </w:tr>
      <w:tr w:rsidR="009E4D35" w:rsidRPr="0009387C" w:rsidTr="006C1504">
        <w:tc>
          <w:tcPr>
            <w:tcW w:w="2090" w:type="dxa"/>
          </w:tcPr>
          <w:p w:rsidR="009E4D35" w:rsidRPr="0009387C" w:rsidRDefault="009E4D35" w:rsidP="0009387C">
            <w:pPr>
              <w:jc w:val="left"/>
              <w:rPr>
                <w:rFonts w:cs="Arial"/>
              </w:rPr>
            </w:pPr>
            <w:r w:rsidRPr="0009387C">
              <w:rPr>
                <w:rFonts w:cs="Arial"/>
              </w:rPr>
              <w:t>“</w:t>
            </w:r>
            <w:r w:rsidRPr="0009387C">
              <w:rPr>
                <w:rFonts w:cs="Arial"/>
                <w:b/>
              </w:rPr>
              <w:t>Scheme</w:t>
            </w:r>
            <w:r w:rsidRPr="0009387C">
              <w:rPr>
                <w:rFonts w:cs="Arial"/>
              </w:rPr>
              <w:t>”</w:t>
            </w:r>
          </w:p>
        </w:tc>
        <w:tc>
          <w:tcPr>
            <w:tcW w:w="7040" w:type="dxa"/>
          </w:tcPr>
          <w:p w:rsidR="009E4D35" w:rsidRPr="0009387C" w:rsidRDefault="009E4D35" w:rsidP="0009387C">
            <w:pPr>
              <w:rPr>
                <w:rFonts w:cs="Arial"/>
              </w:rPr>
            </w:pPr>
            <w:r w:rsidRPr="0009387C">
              <w:rPr>
                <w:rFonts w:cs="Arial"/>
              </w:rPr>
              <w:t xml:space="preserve">the scheme of arrangement described in this circular; </w:t>
            </w:r>
          </w:p>
        </w:tc>
      </w:tr>
      <w:tr w:rsidR="009E4D35" w:rsidRPr="0009387C" w:rsidTr="006E7ACB">
        <w:trPr>
          <w:trHeight w:val="564"/>
        </w:trPr>
        <w:tc>
          <w:tcPr>
            <w:tcW w:w="2090" w:type="dxa"/>
          </w:tcPr>
          <w:p w:rsidR="009E4D35" w:rsidRPr="0009387C" w:rsidRDefault="009E4D35" w:rsidP="0009387C">
            <w:pPr>
              <w:jc w:val="left"/>
              <w:rPr>
                <w:rFonts w:cs="Arial"/>
              </w:rPr>
            </w:pPr>
            <w:r w:rsidRPr="0009387C">
              <w:rPr>
                <w:rFonts w:cs="Arial"/>
              </w:rPr>
              <w:t>“</w:t>
            </w:r>
            <w:r w:rsidRPr="0009387C">
              <w:rPr>
                <w:rFonts w:cs="Arial"/>
                <w:b/>
              </w:rPr>
              <w:t>SDRT</w:t>
            </w:r>
            <w:r w:rsidRPr="0009387C">
              <w:rPr>
                <w:rFonts w:cs="Arial"/>
              </w:rPr>
              <w:t>”</w:t>
            </w:r>
          </w:p>
        </w:tc>
        <w:tc>
          <w:tcPr>
            <w:tcW w:w="7040" w:type="dxa"/>
          </w:tcPr>
          <w:p w:rsidR="009E4D35" w:rsidRPr="0009387C" w:rsidRDefault="009E4D35" w:rsidP="00B30650">
            <w:pPr>
              <w:rPr>
                <w:rFonts w:cs="Arial"/>
              </w:rPr>
            </w:pPr>
            <w:r w:rsidRPr="0009387C">
              <w:rPr>
                <w:rFonts w:cs="Arial"/>
              </w:rPr>
              <w:t>stamp duty reserve tax;</w:t>
            </w:r>
          </w:p>
        </w:tc>
      </w:tr>
      <w:tr w:rsidR="009E4D35" w:rsidRPr="0009387C" w:rsidTr="00C51A55">
        <w:tc>
          <w:tcPr>
            <w:tcW w:w="2090" w:type="dxa"/>
          </w:tcPr>
          <w:p w:rsidR="009E4D35" w:rsidRPr="0009387C" w:rsidRDefault="009E4D35" w:rsidP="0009387C">
            <w:pPr>
              <w:jc w:val="left"/>
              <w:rPr>
                <w:rFonts w:cs="Arial"/>
              </w:rPr>
            </w:pPr>
            <w:r w:rsidRPr="0009387C">
              <w:rPr>
                <w:rFonts w:cs="Arial"/>
              </w:rPr>
              <w:t>“</w:t>
            </w:r>
            <w:r w:rsidRPr="0009387C">
              <w:rPr>
                <w:rFonts w:cs="Arial"/>
                <w:b/>
              </w:rPr>
              <w:t>Share</w:t>
            </w:r>
            <w:r w:rsidRPr="0009387C">
              <w:rPr>
                <w:rFonts w:cs="Arial"/>
              </w:rPr>
              <w:t>” or “</w:t>
            </w:r>
            <w:r w:rsidRPr="0009387C">
              <w:rPr>
                <w:rFonts w:cs="Arial"/>
                <w:b/>
              </w:rPr>
              <w:t>Shares</w:t>
            </w:r>
            <w:r w:rsidRPr="0009387C">
              <w:rPr>
                <w:rFonts w:cs="Arial"/>
              </w:rPr>
              <w:t>”</w:t>
            </w:r>
          </w:p>
        </w:tc>
        <w:tc>
          <w:tcPr>
            <w:tcW w:w="7040" w:type="dxa"/>
          </w:tcPr>
          <w:p w:rsidR="009E4D35" w:rsidRPr="0009387C" w:rsidRDefault="009E4D35" w:rsidP="0009387C">
            <w:pPr>
              <w:rPr>
                <w:rFonts w:cs="Arial"/>
              </w:rPr>
            </w:pPr>
            <w:r w:rsidRPr="0009387C">
              <w:rPr>
                <w:rFonts w:cs="Arial"/>
              </w:rPr>
              <w:t>a share, or shares (including larger and smaller denomination shares) in the Continuing Fund;</w:t>
            </w:r>
          </w:p>
        </w:tc>
      </w:tr>
      <w:tr w:rsidR="009E4D35" w:rsidRPr="0009387C" w:rsidTr="00C51A55">
        <w:tc>
          <w:tcPr>
            <w:tcW w:w="2090" w:type="dxa"/>
          </w:tcPr>
          <w:p w:rsidR="009E4D35" w:rsidRPr="0009387C" w:rsidRDefault="009E4D35" w:rsidP="0009387C">
            <w:pPr>
              <w:jc w:val="left"/>
              <w:rPr>
                <w:rFonts w:cs="Arial"/>
              </w:rPr>
            </w:pPr>
            <w:r w:rsidRPr="0009387C">
              <w:rPr>
                <w:rFonts w:cs="Arial"/>
              </w:rPr>
              <w:t>“</w:t>
            </w:r>
            <w:r w:rsidRPr="0009387C">
              <w:rPr>
                <w:rFonts w:cs="Arial"/>
                <w:b/>
              </w:rPr>
              <w:t>Sourcebook</w:t>
            </w:r>
            <w:r w:rsidRPr="0009387C">
              <w:rPr>
                <w:rFonts w:cs="Arial"/>
              </w:rPr>
              <w:t>”</w:t>
            </w:r>
          </w:p>
        </w:tc>
        <w:tc>
          <w:tcPr>
            <w:tcW w:w="7040" w:type="dxa"/>
          </w:tcPr>
          <w:p w:rsidR="009E4D35" w:rsidRPr="0009387C" w:rsidRDefault="009E4D35" w:rsidP="0009387C">
            <w:pPr>
              <w:rPr>
                <w:rFonts w:cs="Arial"/>
                <w:noProof/>
                <w:lang w:val="en-US"/>
              </w:rPr>
            </w:pPr>
            <w:r w:rsidRPr="0009387C">
              <w:rPr>
                <w:rFonts w:cs="Arial"/>
                <w:noProof/>
                <w:lang w:val="en-US"/>
              </w:rPr>
              <w:t xml:space="preserve">the part </w:t>
            </w:r>
            <w:r w:rsidR="00A46302">
              <w:rPr>
                <w:rFonts w:cs="Arial"/>
                <w:noProof/>
                <w:lang w:val="en-US"/>
              </w:rPr>
              <w:t xml:space="preserve">or parts </w:t>
            </w:r>
            <w:r w:rsidRPr="0009387C">
              <w:rPr>
                <w:rFonts w:cs="Arial"/>
                <w:noProof/>
                <w:lang w:val="en-US"/>
              </w:rPr>
              <w:t>of the FCA Handbook of Rules and Guidance which deals with regulated collective investment schemes;</w:t>
            </w:r>
          </w:p>
        </w:tc>
      </w:tr>
      <w:tr w:rsidR="009E4D35" w:rsidRPr="0009387C" w:rsidTr="00D44981">
        <w:trPr>
          <w:trHeight w:val="603"/>
        </w:trPr>
        <w:tc>
          <w:tcPr>
            <w:tcW w:w="2090" w:type="dxa"/>
          </w:tcPr>
          <w:p w:rsidR="009E4D35" w:rsidRPr="0009387C" w:rsidRDefault="009E4D35" w:rsidP="0009387C">
            <w:pPr>
              <w:jc w:val="left"/>
              <w:rPr>
                <w:rFonts w:cs="Arial"/>
              </w:rPr>
            </w:pPr>
            <w:r w:rsidRPr="0009387C">
              <w:rPr>
                <w:rFonts w:cs="Arial"/>
              </w:rPr>
              <w:t>“</w:t>
            </w:r>
            <w:r w:rsidRPr="0009387C">
              <w:rPr>
                <w:rFonts w:cs="Arial"/>
                <w:b/>
              </w:rPr>
              <w:t>Trustee</w:t>
            </w:r>
            <w:r w:rsidRPr="0009387C">
              <w:rPr>
                <w:rFonts w:cs="Arial"/>
              </w:rPr>
              <w:t>”</w:t>
            </w:r>
          </w:p>
        </w:tc>
        <w:tc>
          <w:tcPr>
            <w:tcW w:w="7040" w:type="dxa"/>
          </w:tcPr>
          <w:p w:rsidR="009E4D35" w:rsidRPr="0009387C" w:rsidRDefault="009E4D35" w:rsidP="0009387C">
            <w:pPr>
              <w:spacing w:after="0"/>
              <w:rPr>
                <w:rFonts w:cs="Arial"/>
              </w:rPr>
            </w:pPr>
            <w:r w:rsidRPr="0009387C">
              <w:rPr>
                <w:rFonts w:cs="Arial"/>
              </w:rPr>
              <w:t xml:space="preserve">National Westminster Bank Plc in its capacity as the trustee of </w:t>
            </w:r>
            <w:r w:rsidR="00A15AC1">
              <w:rPr>
                <w:rFonts w:cs="Arial"/>
              </w:rPr>
              <w:t>the Discontinuing Fund</w:t>
            </w:r>
            <w:r w:rsidRPr="0009387C">
              <w:rPr>
                <w:rFonts w:cs="Arial"/>
              </w:rPr>
              <w:t>;</w:t>
            </w:r>
          </w:p>
          <w:p w:rsidR="009E4D35" w:rsidRPr="0009387C" w:rsidRDefault="009E4D35" w:rsidP="0009387C">
            <w:pPr>
              <w:spacing w:after="0"/>
              <w:rPr>
                <w:rFonts w:cs="Arial"/>
              </w:rPr>
            </w:pPr>
          </w:p>
        </w:tc>
      </w:tr>
      <w:tr w:rsidR="009E4D35" w:rsidRPr="0009387C" w:rsidTr="00D44981">
        <w:trPr>
          <w:trHeight w:val="603"/>
        </w:trPr>
        <w:tc>
          <w:tcPr>
            <w:tcW w:w="2090" w:type="dxa"/>
          </w:tcPr>
          <w:p w:rsidR="009E4D35" w:rsidRPr="0009387C" w:rsidRDefault="009E4D35" w:rsidP="0009387C">
            <w:pPr>
              <w:jc w:val="left"/>
              <w:rPr>
                <w:rFonts w:cs="Arial"/>
                <w:b/>
              </w:rPr>
            </w:pPr>
            <w:r w:rsidRPr="0009387C">
              <w:rPr>
                <w:rFonts w:cs="Arial"/>
                <w:b/>
              </w:rPr>
              <w:t xml:space="preserve">“Unit” </w:t>
            </w:r>
            <w:r w:rsidRPr="0009387C">
              <w:rPr>
                <w:rFonts w:cs="Arial"/>
              </w:rPr>
              <w:t>or</w:t>
            </w:r>
            <w:r w:rsidRPr="0009387C">
              <w:rPr>
                <w:rFonts w:cs="Arial"/>
                <w:b/>
              </w:rPr>
              <w:t xml:space="preserve"> “Units”</w:t>
            </w:r>
          </w:p>
        </w:tc>
        <w:tc>
          <w:tcPr>
            <w:tcW w:w="7040" w:type="dxa"/>
          </w:tcPr>
          <w:p w:rsidR="009E4D35" w:rsidRPr="0009387C" w:rsidRDefault="009E4D35" w:rsidP="00EF1344">
            <w:pPr>
              <w:rPr>
                <w:rFonts w:cs="Arial"/>
              </w:rPr>
            </w:pPr>
            <w:r w:rsidRPr="0009387C">
              <w:rPr>
                <w:rFonts w:cs="Arial"/>
              </w:rPr>
              <w:t xml:space="preserve">a unit, or units (including </w:t>
            </w:r>
            <w:r w:rsidR="00EF1344">
              <w:rPr>
                <w:rFonts w:cs="Arial"/>
              </w:rPr>
              <w:t xml:space="preserve">fractions of </w:t>
            </w:r>
            <w:r w:rsidRPr="0009387C">
              <w:rPr>
                <w:rFonts w:cs="Arial"/>
              </w:rPr>
              <w:t>units) in the Discontinuing Fund; and</w:t>
            </w:r>
          </w:p>
        </w:tc>
      </w:tr>
      <w:tr w:rsidR="009E4D35" w:rsidRPr="0009387C" w:rsidTr="006E7ACB">
        <w:trPr>
          <w:trHeight w:val="564"/>
        </w:trPr>
        <w:tc>
          <w:tcPr>
            <w:tcW w:w="2090" w:type="dxa"/>
          </w:tcPr>
          <w:p w:rsidR="009E4D35" w:rsidRPr="0009387C" w:rsidRDefault="009E4D35" w:rsidP="0009387C">
            <w:pPr>
              <w:jc w:val="left"/>
              <w:rPr>
                <w:rFonts w:cs="Arial"/>
              </w:rPr>
            </w:pPr>
            <w:r w:rsidRPr="0009387C">
              <w:rPr>
                <w:rFonts w:cs="Arial"/>
                <w:b/>
              </w:rPr>
              <w:t>“Unitholder”</w:t>
            </w:r>
            <w:r w:rsidRPr="0009387C">
              <w:rPr>
                <w:rFonts w:cs="Arial"/>
              </w:rPr>
              <w:t xml:space="preserve"> or </w:t>
            </w:r>
            <w:r w:rsidRPr="0009387C">
              <w:rPr>
                <w:rFonts w:cs="Arial"/>
                <w:b/>
              </w:rPr>
              <w:t>“Unitholders”</w:t>
            </w:r>
          </w:p>
        </w:tc>
        <w:tc>
          <w:tcPr>
            <w:tcW w:w="7040" w:type="dxa"/>
          </w:tcPr>
          <w:p w:rsidR="009E4D35" w:rsidRPr="0009387C" w:rsidRDefault="009E4D35" w:rsidP="0009387C">
            <w:pPr>
              <w:rPr>
                <w:rFonts w:cs="Arial"/>
              </w:rPr>
            </w:pPr>
            <w:r w:rsidRPr="0009387C">
              <w:rPr>
                <w:rFonts w:cs="Arial"/>
              </w:rPr>
              <w:t>in relation to a Unit or Units of the Discontinuing Fund, the person or persons entered in the register as the unitholder or unitholders of that Unit or Units on the date seven days before the date that this document is sent out but in relation to the Discontinuing Fund.</w:t>
            </w:r>
          </w:p>
        </w:tc>
      </w:tr>
    </w:tbl>
    <w:p w:rsidR="009E4D35" w:rsidRPr="0009387C" w:rsidRDefault="009E4D35" w:rsidP="000D64DC">
      <w:pPr>
        <w:pStyle w:val="ScheduleHeadingPartTOC"/>
        <w:numPr>
          <w:ilvl w:val="1"/>
          <w:numId w:val="20"/>
        </w:numPr>
        <w:ind w:left="0" w:firstLine="0"/>
        <w:rPr>
          <w:rStyle w:val="MacLevel1TOC"/>
        </w:rPr>
      </w:pPr>
      <w:r w:rsidRPr="0009387C">
        <w:rPr>
          <w:rStyle w:val="Level1asHeadingtext"/>
          <w:rFonts w:cs="Arial"/>
          <w:bCs/>
          <w:sz w:val="20"/>
        </w:rPr>
        <w:br w:type="page"/>
      </w:r>
      <w:bookmarkStart w:id="12" w:name="_Ref399095346"/>
    </w:p>
    <w:p w:rsidR="009E4D35" w:rsidRPr="0009387C" w:rsidRDefault="009E4D35" w:rsidP="0009387C">
      <w:pPr>
        <w:pStyle w:val="ScheduleSubHeadingTOC"/>
        <w:rPr>
          <w:rStyle w:val="MacLevel1TOC"/>
          <w:b/>
          <w:bCs w:val="0"/>
        </w:rPr>
      </w:pPr>
      <w:r w:rsidRPr="0009387C">
        <w:rPr>
          <w:rStyle w:val="MacLevel1TOC"/>
          <w:b/>
        </w:rPr>
        <w:lastRenderedPageBreak/>
        <w:t>SUMMARY OF EXPECTED KEY DATES</w:t>
      </w:r>
      <w:bookmarkEnd w:id="12"/>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620"/>
      </w:tblGrid>
      <w:tr w:rsidR="00F96939" w:rsidRPr="0009387C" w:rsidTr="003D4E02">
        <w:tc>
          <w:tcPr>
            <w:tcW w:w="4620" w:type="dxa"/>
            <w:tcBorders>
              <w:top w:val="nil"/>
              <w:left w:val="nil"/>
              <w:bottom w:val="nil"/>
              <w:right w:val="nil"/>
            </w:tcBorders>
          </w:tcPr>
          <w:p w:rsidR="00F96939" w:rsidRDefault="00F96939" w:rsidP="008A5874">
            <w:r>
              <w:t>18 November 2014</w:t>
            </w:r>
          </w:p>
        </w:tc>
        <w:tc>
          <w:tcPr>
            <w:tcW w:w="4620" w:type="dxa"/>
            <w:tcBorders>
              <w:top w:val="nil"/>
              <w:left w:val="nil"/>
              <w:bottom w:val="nil"/>
              <w:right w:val="nil"/>
            </w:tcBorders>
          </w:tcPr>
          <w:p w:rsidR="00F96939" w:rsidRPr="00F94E48" w:rsidRDefault="00F96939" w:rsidP="0009387C">
            <w:pPr>
              <w:spacing w:after="0"/>
              <w:rPr>
                <w:rFonts w:cs="Arial"/>
              </w:rPr>
            </w:pPr>
            <w:r>
              <w:rPr>
                <w:rFonts w:cs="Arial"/>
              </w:rPr>
              <w:t xml:space="preserve">Qualification date for </w:t>
            </w:r>
            <w:r w:rsidR="00FC3E06">
              <w:rPr>
                <w:rFonts w:cs="Arial"/>
              </w:rPr>
              <w:t xml:space="preserve">voting for </w:t>
            </w:r>
            <w:r>
              <w:rPr>
                <w:rFonts w:cs="Arial"/>
              </w:rPr>
              <w:t>Unitholders</w:t>
            </w:r>
          </w:p>
        </w:tc>
      </w:tr>
      <w:tr w:rsidR="009E4D35" w:rsidRPr="0009387C" w:rsidTr="003D4E02">
        <w:tc>
          <w:tcPr>
            <w:tcW w:w="4620" w:type="dxa"/>
            <w:tcBorders>
              <w:top w:val="nil"/>
              <w:left w:val="nil"/>
              <w:bottom w:val="nil"/>
              <w:right w:val="nil"/>
            </w:tcBorders>
          </w:tcPr>
          <w:p w:rsidR="009E4D35" w:rsidRPr="0009387C" w:rsidRDefault="00EF3CCE" w:rsidP="008A5874">
            <w:r>
              <w:t>10.00</w:t>
            </w:r>
            <w:r w:rsidR="00F94E48">
              <w:rPr>
                <w:rFonts w:cs="Arial"/>
              </w:rPr>
              <w:t xml:space="preserve"> am</w:t>
            </w:r>
            <w:r>
              <w:rPr>
                <w:rFonts w:cs="Arial"/>
              </w:rPr>
              <w:t xml:space="preserve"> </w:t>
            </w:r>
            <w:r w:rsidR="00F94E48">
              <w:t>(GMT)</w:t>
            </w:r>
            <w:r w:rsidR="009F64DC">
              <w:t xml:space="preserve"> </w:t>
            </w:r>
            <w:r w:rsidR="00F94E48">
              <w:t xml:space="preserve">on </w:t>
            </w:r>
            <w:r w:rsidR="008A5874">
              <w:t>25 November</w:t>
            </w:r>
            <w:r w:rsidR="00F94E48">
              <w:t xml:space="preserve"> </w:t>
            </w:r>
            <w:r w:rsidR="009F6FD9" w:rsidRPr="0009387C">
              <w:t>2014</w:t>
            </w:r>
          </w:p>
        </w:tc>
        <w:tc>
          <w:tcPr>
            <w:tcW w:w="4620" w:type="dxa"/>
            <w:tcBorders>
              <w:top w:val="nil"/>
              <w:left w:val="nil"/>
              <w:bottom w:val="nil"/>
              <w:right w:val="nil"/>
            </w:tcBorders>
          </w:tcPr>
          <w:p w:rsidR="009E4D35" w:rsidRPr="0009387C" w:rsidRDefault="00F94E48" w:rsidP="0009387C">
            <w:pPr>
              <w:spacing w:after="0"/>
              <w:rPr>
                <w:rFonts w:cs="Arial"/>
              </w:rPr>
            </w:pPr>
            <w:r w:rsidRPr="00F94E48">
              <w:rPr>
                <w:rFonts w:cs="Arial"/>
              </w:rPr>
              <w:t>Latest time and date for receipt of Form</w:t>
            </w:r>
            <w:r w:rsidR="00FC3E06">
              <w:rPr>
                <w:rFonts w:cs="Arial"/>
              </w:rPr>
              <w:t>s</w:t>
            </w:r>
            <w:r w:rsidRPr="00F94E48">
              <w:rPr>
                <w:rFonts w:cs="Arial"/>
              </w:rPr>
              <w:t xml:space="preserve"> of Proxy  for Extraordinary General Meeting</w:t>
            </w:r>
          </w:p>
          <w:p w:rsidR="009E4D35" w:rsidRPr="0009387C" w:rsidRDefault="009E4D35" w:rsidP="0009387C">
            <w:pPr>
              <w:spacing w:after="0"/>
              <w:rPr>
                <w:rFonts w:cs="Arial"/>
              </w:rPr>
            </w:pPr>
          </w:p>
        </w:tc>
      </w:tr>
      <w:tr w:rsidR="009E4D35" w:rsidRPr="0009387C" w:rsidTr="003D4E02">
        <w:tc>
          <w:tcPr>
            <w:tcW w:w="4620" w:type="dxa"/>
            <w:tcBorders>
              <w:top w:val="nil"/>
              <w:left w:val="nil"/>
              <w:bottom w:val="nil"/>
              <w:right w:val="nil"/>
            </w:tcBorders>
          </w:tcPr>
          <w:p w:rsidR="009E4D35" w:rsidRPr="0009387C" w:rsidRDefault="00EF3CCE" w:rsidP="00581FAD">
            <w:r>
              <w:t>10.00</w:t>
            </w:r>
            <w:r>
              <w:rPr>
                <w:rFonts w:cs="Arial"/>
              </w:rPr>
              <w:t xml:space="preserve"> am </w:t>
            </w:r>
            <w:r>
              <w:t xml:space="preserve">(GMT) on </w:t>
            </w:r>
            <w:r w:rsidR="00581FAD">
              <w:t>27 November</w:t>
            </w:r>
            <w:r>
              <w:t xml:space="preserve"> </w:t>
            </w:r>
            <w:r w:rsidRPr="0009387C">
              <w:t>2014</w:t>
            </w:r>
          </w:p>
        </w:tc>
        <w:tc>
          <w:tcPr>
            <w:tcW w:w="4620" w:type="dxa"/>
            <w:tcBorders>
              <w:top w:val="nil"/>
              <w:left w:val="nil"/>
              <w:bottom w:val="nil"/>
              <w:right w:val="nil"/>
            </w:tcBorders>
          </w:tcPr>
          <w:p w:rsidR="009E4D35" w:rsidRPr="0009387C" w:rsidRDefault="00F94E48" w:rsidP="0009387C">
            <w:pPr>
              <w:spacing w:after="0"/>
              <w:rPr>
                <w:rFonts w:cs="Arial"/>
              </w:rPr>
            </w:pPr>
            <w:r w:rsidRPr="00F94E48">
              <w:rPr>
                <w:rFonts w:cs="Arial"/>
              </w:rPr>
              <w:t xml:space="preserve">Extraordinary General Meeting of </w:t>
            </w:r>
            <w:r>
              <w:rPr>
                <w:rFonts w:cs="Arial"/>
              </w:rPr>
              <w:t>Unit</w:t>
            </w:r>
            <w:r w:rsidRPr="00F94E48">
              <w:rPr>
                <w:rFonts w:cs="Arial"/>
              </w:rPr>
              <w:t>holders in the Discontinuing Fund</w:t>
            </w:r>
          </w:p>
          <w:p w:rsidR="009F6FD9" w:rsidRPr="0009387C" w:rsidRDefault="009F6FD9" w:rsidP="0009387C">
            <w:pPr>
              <w:spacing w:after="0"/>
              <w:rPr>
                <w:rFonts w:cs="Arial"/>
              </w:rPr>
            </w:pPr>
          </w:p>
        </w:tc>
      </w:tr>
      <w:tr w:rsidR="00F96939" w:rsidRPr="0009387C" w:rsidTr="003D4E02">
        <w:tc>
          <w:tcPr>
            <w:tcW w:w="4620" w:type="dxa"/>
            <w:tcBorders>
              <w:top w:val="nil"/>
              <w:left w:val="nil"/>
              <w:bottom w:val="nil"/>
              <w:right w:val="nil"/>
            </w:tcBorders>
          </w:tcPr>
          <w:p w:rsidR="00FC3E06" w:rsidRDefault="00FC3E06" w:rsidP="00581FAD">
            <w:r w:rsidRPr="00FC3E06">
              <w:rPr>
                <w:b/>
                <w:bCs/>
              </w:rPr>
              <w:t>Subject to the approval of Unitholders</w:t>
            </w:r>
          </w:p>
          <w:p w:rsidR="00F96939" w:rsidRDefault="00F96939" w:rsidP="00581FAD"/>
        </w:tc>
        <w:tc>
          <w:tcPr>
            <w:tcW w:w="4620" w:type="dxa"/>
            <w:tcBorders>
              <w:top w:val="nil"/>
              <w:left w:val="nil"/>
              <w:bottom w:val="nil"/>
              <w:right w:val="nil"/>
            </w:tcBorders>
          </w:tcPr>
          <w:p w:rsidR="00F96939" w:rsidRPr="00F94E48" w:rsidRDefault="00F96939" w:rsidP="0009387C">
            <w:pPr>
              <w:spacing w:after="0"/>
              <w:rPr>
                <w:rFonts w:cs="Arial"/>
              </w:rPr>
            </w:pPr>
          </w:p>
        </w:tc>
      </w:tr>
      <w:tr w:rsidR="00FC3E06" w:rsidRPr="0009387C" w:rsidTr="003D4E02">
        <w:tc>
          <w:tcPr>
            <w:tcW w:w="4620" w:type="dxa"/>
            <w:tcBorders>
              <w:top w:val="nil"/>
              <w:left w:val="nil"/>
              <w:bottom w:val="nil"/>
              <w:right w:val="nil"/>
            </w:tcBorders>
          </w:tcPr>
          <w:p w:rsidR="00FC3E06" w:rsidRPr="00FC3E06" w:rsidRDefault="00FC3E06" w:rsidP="002F4F49">
            <w:pPr>
              <w:rPr>
                <w:b/>
                <w:bCs/>
              </w:rPr>
            </w:pPr>
            <w:r>
              <w:t>12 noon (GMT) on 1</w:t>
            </w:r>
            <w:r w:rsidR="00290C5C">
              <w:t>4</w:t>
            </w:r>
            <w:r>
              <w:t xml:space="preserve"> January 2015</w:t>
            </w:r>
          </w:p>
        </w:tc>
        <w:tc>
          <w:tcPr>
            <w:tcW w:w="4620" w:type="dxa"/>
            <w:tcBorders>
              <w:top w:val="nil"/>
              <w:left w:val="nil"/>
              <w:bottom w:val="nil"/>
              <w:right w:val="nil"/>
            </w:tcBorders>
          </w:tcPr>
          <w:p w:rsidR="00FC3E06" w:rsidRPr="00F94E48" w:rsidRDefault="00FC3E06" w:rsidP="0009387C">
            <w:pPr>
              <w:spacing w:after="0"/>
              <w:rPr>
                <w:rFonts w:cs="Arial"/>
              </w:rPr>
            </w:pPr>
            <w:r>
              <w:rPr>
                <w:rFonts w:cs="Arial"/>
              </w:rPr>
              <w:t>Last dealing point for Units in Discontinuing Fund</w:t>
            </w:r>
          </w:p>
        </w:tc>
      </w:tr>
      <w:tr w:rsidR="00FC3E06" w:rsidRPr="0009387C" w:rsidTr="003D4E02">
        <w:tc>
          <w:tcPr>
            <w:tcW w:w="4620" w:type="dxa"/>
            <w:tcBorders>
              <w:top w:val="nil"/>
              <w:left w:val="nil"/>
              <w:bottom w:val="nil"/>
              <w:right w:val="nil"/>
            </w:tcBorders>
          </w:tcPr>
          <w:p w:rsidR="00FC3E06" w:rsidRPr="0009387C" w:rsidRDefault="00FC3E06" w:rsidP="00075D95">
            <w:r>
              <w:t>12.01 pm (GMT) on 1</w:t>
            </w:r>
            <w:r w:rsidR="00980253">
              <w:t>4</w:t>
            </w:r>
            <w:r>
              <w:t xml:space="preserve"> January </w:t>
            </w:r>
            <w:r w:rsidRPr="0009387C">
              <w:t>201</w:t>
            </w:r>
            <w:r>
              <w:t>5</w:t>
            </w:r>
          </w:p>
        </w:tc>
        <w:tc>
          <w:tcPr>
            <w:tcW w:w="4620" w:type="dxa"/>
            <w:tcBorders>
              <w:top w:val="nil"/>
              <w:left w:val="nil"/>
              <w:bottom w:val="nil"/>
              <w:right w:val="nil"/>
            </w:tcBorders>
          </w:tcPr>
          <w:p w:rsidR="00FC3E06" w:rsidRPr="00F94E48" w:rsidRDefault="00FC3E06" w:rsidP="0009387C">
            <w:pPr>
              <w:spacing w:after="0"/>
              <w:rPr>
                <w:rFonts w:cs="Arial"/>
              </w:rPr>
            </w:pPr>
            <w:r w:rsidRPr="00F94E48">
              <w:rPr>
                <w:rFonts w:cs="Arial"/>
              </w:rPr>
              <w:t xml:space="preserve">Suspension of dealing in </w:t>
            </w:r>
            <w:r>
              <w:rPr>
                <w:rFonts w:cs="Arial"/>
              </w:rPr>
              <w:t>Unit</w:t>
            </w:r>
            <w:r w:rsidRPr="00F94E48">
              <w:rPr>
                <w:rFonts w:cs="Arial"/>
              </w:rPr>
              <w:t>s in Discontinuing</w:t>
            </w:r>
            <w:r w:rsidR="00290C5C">
              <w:rPr>
                <w:rFonts w:cs="Arial"/>
              </w:rPr>
              <w:t xml:space="preserve"> Fund</w:t>
            </w:r>
            <w:r w:rsidR="00075D95">
              <w:rPr>
                <w:rFonts w:cs="Arial"/>
              </w:rPr>
              <w:t xml:space="preserve"> </w:t>
            </w:r>
          </w:p>
          <w:p w:rsidR="00FC3E06" w:rsidRPr="0009387C" w:rsidRDefault="00FC3E06" w:rsidP="0009387C">
            <w:pPr>
              <w:spacing w:after="0"/>
              <w:rPr>
                <w:rFonts w:cs="Arial"/>
              </w:rPr>
            </w:pPr>
          </w:p>
        </w:tc>
      </w:tr>
      <w:tr w:rsidR="00FC3E06" w:rsidRPr="0009387C" w:rsidTr="003D4E02">
        <w:tc>
          <w:tcPr>
            <w:tcW w:w="4620" w:type="dxa"/>
            <w:tcBorders>
              <w:top w:val="nil"/>
              <w:left w:val="nil"/>
              <w:bottom w:val="nil"/>
              <w:right w:val="nil"/>
            </w:tcBorders>
          </w:tcPr>
          <w:p w:rsidR="00FC3E06" w:rsidRPr="0009387C" w:rsidRDefault="00980253" w:rsidP="002F4F49">
            <w:r>
              <w:t>12.01</w:t>
            </w:r>
            <w:r w:rsidR="00FC3E06">
              <w:t xml:space="preserve"> </w:t>
            </w:r>
            <w:r w:rsidR="00FC3E06">
              <w:rPr>
                <w:rFonts w:cs="Arial"/>
              </w:rPr>
              <w:t xml:space="preserve">pm </w:t>
            </w:r>
            <w:r w:rsidR="00FC3E06">
              <w:t>(GMT) on 1</w:t>
            </w:r>
            <w:r w:rsidR="002F4F49">
              <w:t>5</w:t>
            </w:r>
            <w:r w:rsidR="00FC3E06">
              <w:t xml:space="preserve"> January </w:t>
            </w:r>
            <w:r w:rsidR="00FC3E06" w:rsidRPr="0009387C">
              <w:t>201</w:t>
            </w:r>
            <w:r w:rsidR="00FC3E06">
              <w:t>5</w:t>
            </w:r>
          </w:p>
        </w:tc>
        <w:tc>
          <w:tcPr>
            <w:tcW w:w="4620" w:type="dxa"/>
            <w:tcBorders>
              <w:top w:val="nil"/>
              <w:left w:val="nil"/>
              <w:bottom w:val="nil"/>
              <w:right w:val="nil"/>
            </w:tcBorders>
          </w:tcPr>
          <w:p w:rsidR="00FC3E06" w:rsidRDefault="00FC3E06" w:rsidP="0009387C">
            <w:pPr>
              <w:spacing w:after="0"/>
              <w:rPr>
                <w:rFonts w:cs="Arial"/>
              </w:rPr>
            </w:pPr>
            <w:r w:rsidRPr="00F94E48">
              <w:rPr>
                <w:rFonts w:cs="Arial"/>
              </w:rPr>
              <w:t xml:space="preserve">Time of valuation of the Discontinuing Fund for the purposes of the Scheme </w:t>
            </w:r>
          </w:p>
          <w:p w:rsidR="00FC3E06" w:rsidRPr="0009387C" w:rsidRDefault="00FC3E06" w:rsidP="0009387C">
            <w:pPr>
              <w:spacing w:after="0"/>
              <w:rPr>
                <w:rFonts w:cs="Arial"/>
              </w:rPr>
            </w:pPr>
          </w:p>
        </w:tc>
      </w:tr>
      <w:tr w:rsidR="00FC3E06" w:rsidRPr="0009387C" w:rsidTr="003D4E02">
        <w:tc>
          <w:tcPr>
            <w:tcW w:w="4620" w:type="dxa"/>
            <w:tcBorders>
              <w:top w:val="nil"/>
              <w:left w:val="nil"/>
              <w:bottom w:val="nil"/>
              <w:right w:val="nil"/>
            </w:tcBorders>
          </w:tcPr>
          <w:p w:rsidR="00290C5C" w:rsidRDefault="00980253" w:rsidP="002F4F49">
            <w:pPr>
              <w:spacing w:after="0"/>
              <w:rPr>
                <w:rFonts w:cs="Arial"/>
              </w:rPr>
            </w:pPr>
            <w:r>
              <w:rPr>
                <w:rFonts w:cs="Arial"/>
              </w:rPr>
              <w:t>12.01</w:t>
            </w:r>
            <w:r w:rsidR="00FC3E06">
              <w:rPr>
                <w:rFonts w:cs="Arial"/>
              </w:rPr>
              <w:t xml:space="preserve"> pm</w:t>
            </w:r>
            <w:r w:rsidR="00FC3E06" w:rsidRPr="0009387C">
              <w:rPr>
                <w:rFonts w:cs="Arial"/>
              </w:rPr>
              <w:t xml:space="preserve"> </w:t>
            </w:r>
            <w:r w:rsidR="00FC3E06">
              <w:rPr>
                <w:rFonts w:cs="Arial"/>
              </w:rPr>
              <w:t xml:space="preserve">(GMT) </w:t>
            </w:r>
            <w:r w:rsidR="00FC3E06" w:rsidRPr="0009387C">
              <w:rPr>
                <w:rFonts w:cs="Arial"/>
              </w:rPr>
              <w:t xml:space="preserve">on </w:t>
            </w:r>
            <w:r w:rsidR="00FC3E06">
              <w:rPr>
                <w:rFonts w:cs="Arial"/>
              </w:rPr>
              <w:t>1</w:t>
            </w:r>
            <w:r w:rsidR="002F4F49">
              <w:rPr>
                <w:rFonts w:cs="Arial"/>
              </w:rPr>
              <w:t>5</w:t>
            </w:r>
            <w:r w:rsidR="00FC3E06">
              <w:rPr>
                <w:rFonts w:cs="Arial"/>
              </w:rPr>
              <w:t xml:space="preserve"> January 2015</w:t>
            </w:r>
          </w:p>
          <w:p w:rsidR="00290C5C" w:rsidRDefault="00290C5C" w:rsidP="002F4F49">
            <w:pPr>
              <w:spacing w:after="0"/>
              <w:rPr>
                <w:rFonts w:cs="Arial"/>
              </w:rPr>
            </w:pPr>
          </w:p>
          <w:p w:rsidR="00290C5C" w:rsidRPr="00290C5C" w:rsidRDefault="00290C5C" w:rsidP="002F4F49">
            <w:pPr>
              <w:spacing w:after="0"/>
              <w:rPr>
                <w:rFonts w:cs="Arial"/>
              </w:rPr>
            </w:pPr>
            <w:r>
              <w:rPr>
                <w:rFonts w:cs="Arial"/>
              </w:rPr>
              <w:t>12.01 pm</w:t>
            </w:r>
            <w:r w:rsidRPr="0009387C">
              <w:rPr>
                <w:rFonts w:cs="Arial"/>
              </w:rPr>
              <w:t xml:space="preserve"> </w:t>
            </w:r>
            <w:r>
              <w:rPr>
                <w:rFonts w:cs="Arial"/>
              </w:rPr>
              <w:t xml:space="preserve">(GMT) </w:t>
            </w:r>
            <w:r w:rsidRPr="0009387C">
              <w:rPr>
                <w:rFonts w:cs="Arial"/>
              </w:rPr>
              <w:t xml:space="preserve">on </w:t>
            </w:r>
            <w:r w:rsidR="004474C6">
              <w:rPr>
                <w:rFonts w:cs="Arial"/>
              </w:rPr>
              <w:t>15</w:t>
            </w:r>
            <w:r>
              <w:rPr>
                <w:rFonts w:cs="Arial"/>
              </w:rPr>
              <w:t xml:space="preserve"> January 2015</w:t>
            </w:r>
          </w:p>
        </w:tc>
        <w:tc>
          <w:tcPr>
            <w:tcW w:w="4620" w:type="dxa"/>
            <w:tcBorders>
              <w:top w:val="nil"/>
              <w:left w:val="nil"/>
              <w:bottom w:val="nil"/>
              <w:right w:val="nil"/>
            </w:tcBorders>
          </w:tcPr>
          <w:p w:rsidR="00FC3E06" w:rsidRDefault="00FC3E06" w:rsidP="00F94E48">
            <w:pPr>
              <w:spacing w:after="0"/>
              <w:rPr>
                <w:rFonts w:cs="Arial"/>
              </w:rPr>
            </w:pPr>
            <w:r w:rsidRPr="00F94E48">
              <w:rPr>
                <w:rFonts w:cs="Arial"/>
              </w:rPr>
              <w:t>Effective Time</w:t>
            </w:r>
          </w:p>
          <w:p w:rsidR="00290C5C" w:rsidRDefault="00290C5C" w:rsidP="00F94E48">
            <w:pPr>
              <w:spacing w:after="0"/>
              <w:rPr>
                <w:rFonts w:cs="Arial"/>
              </w:rPr>
            </w:pPr>
          </w:p>
          <w:p w:rsidR="00290C5C" w:rsidRPr="0009387C" w:rsidRDefault="00290C5C" w:rsidP="00290C5C">
            <w:pPr>
              <w:spacing w:after="0"/>
              <w:rPr>
                <w:rFonts w:cs="Arial"/>
              </w:rPr>
            </w:pPr>
            <w:r w:rsidRPr="00F94E48">
              <w:rPr>
                <w:rFonts w:cs="Arial"/>
              </w:rPr>
              <w:t xml:space="preserve">Suspension of dealing in </w:t>
            </w:r>
            <w:r>
              <w:rPr>
                <w:rFonts w:cs="Arial"/>
              </w:rPr>
              <w:t>Shares</w:t>
            </w:r>
            <w:r w:rsidRPr="00F94E48">
              <w:rPr>
                <w:rFonts w:cs="Arial"/>
              </w:rPr>
              <w:t xml:space="preserve"> in</w:t>
            </w:r>
            <w:r>
              <w:rPr>
                <w:rFonts w:cs="Arial"/>
              </w:rPr>
              <w:t xml:space="preserve"> the Continuing Fund</w:t>
            </w:r>
          </w:p>
        </w:tc>
      </w:tr>
      <w:tr w:rsidR="00FC3E06" w:rsidRPr="0009387C" w:rsidTr="003D4E02">
        <w:trPr>
          <w:gridAfter w:val="1"/>
          <w:wAfter w:w="4620" w:type="dxa"/>
        </w:trPr>
        <w:tc>
          <w:tcPr>
            <w:tcW w:w="4620" w:type="dxa"/>
            <w:tcBorders>
              <w:top w:val="nil"/>
              <w:left w:val="nil"/>
              <w:bottom w:val="nil"/>
              <w:right w:val="nil"/>
            </w:tcBorders>
          </w:tcPr>
          <w:p w:rsidR="00FC3E06" w:rsidRPr="0009387C" w:rsidRDefault="00FC3E06" w:rsidP="00F94E48">
            <w:pPr>
              <w:spacing w:after="0"/>
            </w:pPr>
          </w:p>
        </w:tc>
      </w:tr>
      <w:tr w:rsidR="00FC3E06" w:rsidRPr="0009387C" w:rsidTr="003D4E02">
        <w:tc>
          <w:tcPr>
            <w:tcW w:w="4620" w:type="dxa"/>
            <w:tcBorders>
              <w:top w:val="nil"/>
              <w:left w:val="nil"/>
              <w:bottom w:val="nil"/>
              <w:right w:val="nil"/>
            </w:tcBorders>
          </w:tcPr>
          <w:p w:rsidR="00FC3E06" w:rsidRPr="0009387C" w:rsidRDefault="00FC3E06" w:rsidP="008A5874">
            <w:pPr>
              <w:spacing w:after="0"/>
            </w:pPr>
            <w:r w:rsidRPr="0009387C">
              <w:t xml:space="preserve">12.00 noon </w:t>
            </w:r>
            <w:r>
              <w:t xml:space="preserve">(GMT) </w:t>
            </w:r>
            <w:r w:rsidRPr="0009387C">
              <w:t xml:space="preserve">on </w:t>
            </w:r>
            <w:r>
              <w:t>19 January 2015</w:t>
            </w:r>
          </w:p>
        </w:tc>
        <w:tc>
          <w:tcPr>
            <w:tcW w:w="4620" w:type="dxa"/>
            <w:tcBorders>
              <w:top w:val="nil"/>
              <w:left w:val="nil"/>
              <w:bottom w:val="nil"/>
              <w:right w:val="nil"/>
            </w:tcBorders>
          </w:tcPr>
          <w:p w:rsidR="00FC3E06" w:rsidRPr="0009387C" w:rsidRDefault="00FC3E06" w:rsidP="00FC3E06">
            <w:pPr>
              <w:spacing w:after="0"/>
              <w:rPr>
                <w:rFonts w:cs="Arial"/>
              </w:rPr>
            </w:pPr>
            <w:r w:rsidRPr="00F94E48">
              <w:rPr>
                <w:rFonts w:cs="Arial"/>
              </w:rPr>
              <w:t xml:space="preserve">Commencement of dealing in </w:t>
            </w:r>
            <w:r>
              <w:rPr>
                <w:rFonts w:cs="Arial"/>
              </w:rPr>
              <w:t xml:space="preserve">Shares </w:t>
            </w:r>
            <w:r w:rsidRPr="00F94E48">
              <w:rPr>
                <w:rFonts w:cs="Arial"/>
              </w:rPr>
              <w:t xml:space="preserve">of </w:t>
            </w:r>
            <w:r>
              <w:rPr>
                <w:rFonts w:cs="Arial"/>
              </w:rPr>
              <w:t>Continuing</w:t>
            </w:r>
            <w:r w:rsidRPr="00F94E48">
              <w:rPr>
                <w:rFonts w:cs="Arial"/>
              </w:rPr>
              <w:t xml:space="preserve"> Fund</w:t>
            </w:r>
            <w:r w:rsidRPr="0009387C">
              <w:rPr>
                <w:rFonts w:cs="Arial"/>
              </w:rPr>
              <w:t xml:space="preserve"> </w:t>
            </w:r>
          </w:p>
          <w:p w:rsidR="00FC3E06" w:rsidRPr="0009387C" w:rsidRDefault="00FC3E06" w:rsidP="00F94E48">
            <w:pPr>
              <w:spacing w:after="0"/>
              <w:rPr>
                <w:rFonts w:cs="Arial"/>
              </w:rPr>
            </w:pPr>
          </w:p>
        </w:tc>
      </w:tr>
      <w:tr w:rsidR="00FC3E06" w:rsidRPr="0009387C" w:rsidTr="003D4E02">
        <w:tc>
          <w:tcPr>
            <w:tcW w:w="4620" w:type="dxa"/>
            <w:tcBorders>
              <w:top w:val="nil"/>
              <w:left w:val="nil"/>
              <w:bottom w:val="nil"/>
              <w:right w:val="nil"/>
            </w:tcBorders>
          </w:tcPr>
          <w:p w:rsidR="00FC3E06" w:rsidRPr="0009387C" w:rsidRDefault="00FC3E06" w:rsidP="004E5B87">
            <w:r w:rsidRPr="00EF3CCE">
              <w:t xml:space="preserve">Within </w:t>
            </w:r>
            <w:r w:rsidR="00395818">
              <w:t>14</w:t>
            </w:r>
            <w:r w:rsidRPr="00EF3CCE">
              <w:t xml:space="preserve"> days of the Effective Date, </w:t>
            </w:r>
            <w:r w:rsidR="004E5B87">
              <w:t>30 January</w:t>
            </w:r>
            <w:r>
              <w:t xml:space="preserve"> 2015</w:t>
            </w:r>
            <w:r w:rsidRPr="00EF3CCE">
              <w:t xml:space="preserve"> being the last day for notification</w:t>
            </w:r>
          </w:p>
        </w:tc>
        <w:tc>
          <w:tcPr>
            <w:tcW w:w="4620" w:type="dxa"/>
            <w:tcBorders>
              <w:top w:val="nil"/>
              <w:left w:val="nil"/>
              <w:bottom w:val="nil"/>
              <w:right w:val="nil"/>
            </w:tcBorders>
          </w:tcPr>
          <w:p w:rsidR="00FC3E06" w:rsidRPr="0009387C" w:rsidRDefault="00FC3E06" w:rsidP="002F4F49">
            <w:pPr>
              <w:spacing w:after="0"/>
              <w:rPr>
                <w:rFonts w:cs="Arial"/>
              </w:rPr>
            </w:pPr>
            <w:r w:rsidRPr="00F94E48">
              <w:rPr>
                <w:rFonts w:cs="Arial"/>
              </w:rPr>
              <w:t xml:space="preserve">Notification of entitlements to </w:t>
            </w:r>
            <w:r w:rsidR="002F4F49">
              <w:rPr>
                <w:rFonts w:cs="Arial"/>
              </w:rPr>
              <w:t>Shares</w:t>
            </w:r>
            <w:r w:rsidR="002F4F49" w:rsidRPr="00F94E48">
              <w:rPr>
                <w:rFonts w:cs="Arial"/>
              </w:rPr>
              <w:t xml:space="preserve"> </w:t>
            </w:r>
            <w:r w:rsidRPr="00F94E48">
              <w:rPr>
                <w:rFonts w:cs="Arial"/>
              </w:rPr>
              <w:t xml:space="preserve">of </w:t>
            </w:r>
            <w:r>
              <w:rPr>
                <w:rFonts w:cs="Arial"/>
              </w:rPr>
              <w:t>Continuing</w:t>
            </w:r>
            <w:r w:rsidRPr="00F94E48">
              <w:rPr>
                <w:rFonts w:cs="Arial"/>
              </w:rPr>
              <w:t xml:space="preserve"> Fund</w:t>
            </w:r>
            <w:r>
              <w:rPr>
                <w:rFonts w:cs="Arial"/>
              </w:rPr>
              <w:t xml:space="preserve"> sent to Unitholders</w:t>
            </w:r>
          </w:p>
          <w:p w:rsidR="00FC3E06" w:rsidRPr="0009387C" w:rsidRDefault="00FC3E06" w:rsidP="0009387C">
            <w:pPr>
              <w:spacing w:after="0"/>
              <w:rPr>
                <w:rFonts w:cs="Arial"/>
              </w:rPr>
            </w:pPr>
          </w:p>
        </w:tc>
      </w:tr>
      <w:tr w:rsidR="00FC3E06" w:rsidRPr="0009387C" w:rsidTr="003D4E02">
        <w:tc>
          <w:tcPr>
            <w:tcW w:w="4620" w:type="dxa"/>
            <w:tcBorders>
              <w:top w:val="nil"/>
              <w:left w:val="nil"/>
              <w:bottom w:val="nil"/>
              <w:right w:val="nil"/>
            </w:tcBorders>
          </w:tcPr>
          <w:p w:rsidR="00FC3E06" w:rsidRPr="0072450A" w:rsidRDefault="00FC3E06" w:rsidP="00CF4CE0">
            <w:r w:rsidRPr="00EF3CCE">
              <w:t xml:space="preserve">Within 2 months of the Effective Date, </w:t>
            </w:r>
            <w:r w:rsidR="00B10680">
              <w:t>1</w:t>
            </w:r>
            <w:r w:rsidR="00CF4CE0">
              <w:t>3</w:t>
            </w:r>
            <w:r>
              <w:t xml:space="preserve"> March 2015</w:t>
            </w:r>
            <w:r w:rsidRPr="00EF3CCE">
              <w:t xml:space="preserve"> being the last day for distributio</w:t>
            </w:r>
            <w:r>
              <w:t>n</w:t>
            </w:r>
          </w:p>
        </w:tc>
        <w:tc>
          <w:tcPr>
            <w:tcW w:w="4620" w:type="dxa"/>
            <w:tcBorders>
              <w:top w:val="nil"/>
              <w:left w:val="nil"/>
              <w:bottom w:val="nil"/>
              <w:right w:val="nil"/>
            </w:tcBorders>
          </w:tcPr>
          <w:p w:rsidR="00FC3E06" w:rsidRPr="0072450A" w:rsidRDefault="00FC3E06" w:rsidP="0009387C">
            <w:pPr>
              <w:spacing w:after="0"/>
              <w:rPr>
                <w:rFonts w:cs="Arial"/>
              </w:rPr>
            </w:pPr>
            <w:r w:rsidRPr="00F94E48">
              <w:rPr>
                <w:rFonts w:cs="Arial"/>
              </w:rPr>
              <w:t>Final distribution of income of Discontinuing Fund</w:t>
            </w:r>
          </w:p>
          <w:p w:rsidR="00FC3E06" w:rsidRPr="0072450A" w:rsidRDefault="00FC3E06" w:rsidP="0009387C">
            <w:pPr>
              <w:spacing w:after="0"/>
              <w:rPr>
                <w:rFonts w:cs="Arial"/>
              </w:rPr>
            </w:pPr>
          </w:p>
        </w:tc>
      </w:tr>
      <w:tr w:rsidR="00FC3E06" w:rsidRPr="0009387C" w:rsidTr="003D4E02">
        <w:tc>
          <w:tcPr>
            <w:tcW w:w="4620" w:type="dxa"/>
            <w:tcBorders>
              <w:top w:val="nil"/>
              <w:left w:val="nil"/>
              <w:bottom w:val="nil"/>
              <w:right w:val="nil"/>
            </w:tcBorders>
          </w:tcPr>
          <w:p w:rsidR="00FC3E06" w:rsidRPr="0009387C" w:rsidRDefault="00FC3E06" w:rsidP="0009387C">
            <w:pPr>
              <w:spacing w:after="0"/>
              <w:rPr>
                <w:rFonts w:cs="Arial"/>
              </w:rPr>
            </w:pPr>
          </w:p>
        </w:tc>
        <w:tc>
          <w:tcPr>
            <w:tcW w:w="4620" w:type="dxa"/>
            <w:tcBorders>
              <w:top w:val="nil"/>
              <w:left w:val="nil"/>
              <w:bottom w:val="nil"/>
              <w:right w:val="nil"/>
            </w:tcBorders>
          </w:tcPr>
          <w:p w:rsidR="00FC3E06" w:rsidRPr="0009387C" w:rsidRDefault="00FC3E06" w:rsidP="0009387C">
            <w:pPr>
              <w:spacing w:after="0"/>
              <w:rPr>
                <w:rFonts w:cs="Arial"/>
              </w:rPr>
            </w:pPr>
          </w:p>
          <w:p w:rsidR="00FC3E06" w:rsidRPr="0009387C" w:rsidRDefault="00FC3E06" w:rsidP="0009387C">
            <w:pPr>
              <w:spacing w:after="0"/>
              <w:rPr>
                <w:rFonts w:cs="Arial"/>
              </w:rPr>
            </w:pPr>
          </w:p>
        </w:tc>
      </w:tr>
    </w:tbl>
    <w:p w:rsidR="009E4D35" w:rsidRPr="0009387C" w:rsidRDefault="009E4D35" w:rsidP="000D64DC">
      <w:pPr>
        <w:pStyle w:val="ScheduleHeadingPartTOC"/>
        <w:numPr>
          <w:ilvl w:val="1"/>
          <w:numId w:val="20"/>
        </w:numPr>
        <w:ind w:left="0" w:firstLine="0"/>
        <w:rPr>
          <w:rStyle w:val="MacLevel1TOC"/>
        </w:rPr>
      </w:pPr>
      <w:bookmarkStart w:id="13" w:name="_Ref282768198"/>
      <w:r w:rsidRPr="0009387C">
        <w:rPr>
          <w:rStyle w:val="Level1asHeadingtext"/>
          <w:rFonts w:cs="Arial"/>
          <w:bCs/>
        </w:rPr>
        <w:br w:type="page"/>
      </w:r>
      <w:bookmarkStart w:id="14" w:name="_Ref399095303"/>
      <w:bookmarkEnd w:id="13"/>
    </w:p>
    <w:p w:rsidR="009E4D35" w:rsidRPr="0009387C" w:rsidRDefault="009E4D35" w:rsidP="0009387C">
      <w:pPr>
        <w:pStyle w:val="ScheduleSubHeadingTOC"/>
        <w:rPr>
          <w:rStyle w:val="MacLevel1TOC"/>
          <w:b/>
          <w:bCs w:val="0"/>
        </w:rPr>
      </w:pPr>
      <w:r w:rsidRPr="0009387C">
        <w:rPr>
          <w:rStyle w:val="MacLevel1TOC"/>
          <w:b/>
        </w:rPr>
        <w:lastRenderedPageBreak/>
        <w:t>LETTER TO UNITHOLDERS</w:t>
      </w:r>
      <w:bookmarkEnd w:id="14"/>
    </w:p>
    <w:p w:rsidR="009E4D35" w:rsidRPr="0009387C" w:rsidRDefault="009E4D35" w:rsidP="0009387C">
      <w:pPr>
        <w:pStyle w:val="Body1"/>
        <w:spacing w:after="0"/>
        <w:rPr>
          <w:rFonts w:cs="Arial"/>
        </w:rPr>
      </w:pPr>
      <w:r w:rsidRPr="0009387C">
        <w:rPr>
          <w:rFonts w:cs="Arial"/>
        </w:rPr>
        <w:t>To all Unitholders in:</w:t>
      </w:r>
      <w:r w:rsidRPr="0009387C">
        <w:rPr>
          <w:rFonts w:cs="Arial"/>
        </w:rPr>
        <w:tab/>
        <w:t xml:space="preserve"> Old Mutual </w:t>
      </w:r>
      <w:r w:rsidR="0032082B">
        <w:rPr>
          <w:rFonts w:cs="Arial"/>
        </w:rPr>
        <w:t>Property</w:t>
      </w:r>
      <w:r w:rsidRPr="0009387C">
        <w:rPr>
          <w:rFonts w:cs="Arial"/>
        </w:rPr>
        <w:t xml:space="preserve"> Fund</w:t>
      </w:r>
    </w:p>
    <w:p w:rsidR="009E4D35" w:rsidRPr="0009387C" w:rsidRDefault="009E4D35" w:rsidP="0009387C">
      <w:pPr>
        <w:pStyle w:val="Body1"/>
        <w:spacing w:after="0"/>
        <w:rPr>
          <w:rFonts w:cs="Arial"/>
        </w:rPr>
      </w:pPr>
      <w:r w:rsidRPr="0009387C">
        <w:rPr>
          <w:rFonts w:cs="Arial"/>
        </w:rPr>
        <w:tab/>
      </w:r>
      <w:r w:rsidRPr="0009387C">
        <w:rPr>
          <w:rFonts w:cs="Arial"/>
        </w:rPr>
        <w:tab/>
      </w:r>
      <w:r w:rsidRPr="0009387C">
        <w:rPr>
          <w:rFonts w:cs="Arial"/>
        </w:rPr>
        <w:tab/>
      </w:r>
    </w:p>
    <w:p w:rsidR="009E4D35" w:rsidRPr="0009387C" w:rsidRDefault="006A1942" w:rsidP="0009387C">
      <w:pPr>
        <w:pStyle w:val="Body1"/>
        <w:rPr>
          <w:rFonts w:cs="Arial"/>
        </w:rPr>
      </w:pPr>
      <w:r w:rsidRPr="006A1942">
        <w:rPr>
          <w:rFonts w:cs="Arial"/>
        </w:rPr>
        <w:t>12</w:t>
      </w:r>
      <w:r w:rsidR="004E5B87" w:rsidRPr="006A1942">
        <w:rPr>
          <w:rFonts w:cs="Arial"/>
        </w:rPr>
        <w:t xml:space="preserve"> November</w:t>
      </w:r>
      <w:r w:rsidR="009E4D35" w:rsidRPr="006A1942">
        <w:rPr>
          <w:rFonts w:cs="Arial"/>
        </w:rPr>
        <w:t xml:space="preserve"> 201</w:t>
      </w:r>
      <w:r w:rsidR="00B43E7C" w:rsidRPr="006A1942">
        <w:rPr>
          <w:rFonts w:cs="Arial"/>
        </w:rPr>
        <w:t>4</w:t>
      </w:r>
    </w:p>
    <w:p w:rsidR="009E4D35" w:rsidRPr="0009387C" w:rsidRDefault="009E4D35" w:rsidP="0009387C">
      <w:pPr>
        <w:pStyle w:val="Body1"/>
        <w:rPr>
          <w:rFonts w:cs="Arial"/>
        </w:rPr>
      </w:pPr>
      <w:r w:rsidRPr="0009387C">
        <w:rPr>
          <w:rFonts w:cs="Arial"/>
        </w:rPr>
        <w:t>Dear Unitholder</w:t>
      </w:r>
    </w:p>
    <w:p w:rsidR="009E4D35" w:rsidRPr="0009387C" w:rsidRDefault="009E4D35" w:rsidP="0009387C">
      <w:pPr>
        <w:pStyle w:val="Body1"/>
        <w:rPr>
          <w:rFonts w:cs="Arial"/>
        </w:rPr>
      </w:pPr>
      <w:r w:rsidRPr="0009387C">
        <w:rPr>
          <w:rFonts w:cs="Arial"/>
          <w:b/>
        </w:rPr>
        <w:t xml:space="preserve">Proposal for a scheme of arrangement in relation to Old Mutual </w:t>
      </w:r>
      <w:r w:rsidR="0032082B">
        <w:rPr>
          <w:rFonts w:cs="Arial"/>
          <w:b/>
        </w:rPr>
        <w:t>Property</w:t>
      </w:r>
      <w:r w:rsidRPr="0009387C">
        <w:rPr>
          <w:rFonts w:cs="Arial"/>
          <w:b/>
        </w:rPr>
        <w:t xml:space="preserve"> Fund</w:t>
      </w:r>
    </w:p>
    <w:p w:rsidR="009E4D35" w:rsidRPr="0009387C" w:rsidRDefault="009E4D35" w:rsidP="000D64DC">
      <w:pPr>
        <w:pStyle w:val="MacLevel1"/>
        <w:keepNext/>
        <w:numPr>
          <w:ilvl w:val="1"/>
          <w:numId w:val="22"/>
        </w:numPr>
        <w:rPr>
          <w:rStyle w:val="MacLevel1TOC"/>
        </w:rPr>
      </w:pPr>
      <w:bookmarkStart w:id="15" w:name="_Ref287000161"/>
      <w:bookmarkStart w:id="16" w:name="TOClink1"/>
      <w:r w:rsidRPr="0009387C">
        <w:rPr>
          <w:rStyle w:val="MacLevel1TOC"/>
        </w:rPr>
        <w:t>Introduction</w:t>
      </w:r>
      <w:bookmarkEnd w:id="15"/>
      <w:r w:rsidRPr="0009387C">
        <w:rPr>
          <w:rStyle w:val="MacLevel1TOC"/>
        </w:rPr>
        <w:t xml:space="preserve"> </w:t>
      </w:r>
    </w:p>
    <w:p w:rsidR="009A3753" w:rsidRPr="009A3753" w:rsidRDefault="009A3753" w:rsidP="009A3753">
      <w:pPr>
        <w:pStyle w:val="Body1"/>
        <w:rPr>
          <w:rFonts w:cs="Arial"/>
        </w:rPr>
      </w:pPr>
      <w:r w:rsidRPr="009A3753">
        <w:rPr>
          <w:rFonts w:cs="Arial"/>
        </w:rPr>
        <w:t>Old Mutual Investment Management Limited as the manager of the Discontinuing Fund proposes to transfer the net assets of the Discontinuing Fund to the Continuing Fund.</w:t>
      </w:r>
    </w:p>
    <w:p w:rsidR="009A3753" w:rsidRPr="009A3753" w:rsidRDefault="009A3753" w:rsidP="009A3753">
      <w:pPr>
        <w:pStyle w:val="Body1"/>
        <w:rPr>
          <w:rFonts w:cs="Arial"/>
        </w:rPr>
      </w:pPr>
      <w:r w:rsidRPr="009A3753">
        <w:rPr>
          <w:rFonts w:cs="Arial"/>
        </w:rPr>
        <w:t xml:space="preserve">The Discontinuing Fund has met its objectives since inception, but unlike its peers it has not taken large inflows in recent years. The Unitholder base is highly concentrated with several large institutional clients owning much of the Discontinuing Fund. There is a risk that if one of these investors were to significantly reduce their holding the Manager would be forced to suspend the Discontinuing Fund in order to protect the interests of all Unitholders. </w:t>
      </w:r>
    </w:p>
    <w:p w:rsidR="009A3753" w:rsidRPr="009A3753" w:rsidRDefault="009A3753" w:rsidP="009A3753">
      <w:pPr>
        <w:pStyle w:val="Body1"/>
        <w:rPr>
          <w:rFonts w:cs="Arial"/>
        </w:rPr>
      </w:pPr>
      <w:r w:rsidRPr="009A3753">
        <w:rPr>
          <w:rFonts w:cs="Arial"/>
        </w:rPr>
        <w:t>Rather than allow investors to continue to run this risk the Manager recommends that Unitholders support a merger with the Continuing Fund. Post merger it is expected that Unitholders will continue to gain exposure to the commercial property market through a large and well-managed fund but with greatly reduced risk of suspension due to outflows from a single Unitholder.</w:t>
      </w:r>
    </w:p>
    <w:p w:rsidR="009A3753" w:rsidRPr="009A3753" w:rsidRDefault="009A3753" w:rsidP="009A3753">
      <w:pPr>
        <w:pStyle w:val="Body1"/>
        <w:rPr>
          <w:rFonts w:cs="Arial"/>
        </w:rPr>
      </w:pPr>
      <w:r w:rsidRPr="009A3753">
        <w:rPr>
          <w:rFonts w:cs="Arial"/>
        </w:rPr>
        <w:t>The Manager is proposing to effect the transfer through a formal scheme of arrangement by which the net assets of the Discontinuing Fund will become assets of the Continuing Fund and Unitholders in the Discontinuing Fund will receive Shares in the corresponding Share class of the Continuing Fund in accordance with the value of their holding in the Unit class of the Discontinuing Fund.</w:t>
      </w:r>
    </w:p>
    <w:p w:rsidR="009A3753" w:rsidRPr="00FF47E0" w:rsidRDefault="009A3753" w:rsidP="009A3753">
      <w:pPr>
        <w:pStyle w:val="MacLevel1"/>
        <w:keepNext/>
        <w:numPr>
          <w:ilvl w:val="0"/>
          <w:numId w:val="0"/>
        </w:numPr>
        <w:ind w:left="864"/>
        <w:rPr>
          <w:rFonts w:cs="Arial"/>
          <w:b/>
          <w:sz w:val="22"/>
        </w:rPr>
      </w:pPr>
      <w:r w:rsidRPr="009A3753">
        <w:rPr>
          <w:rFonts w:cs="Arial"/>
        </w:rPr>
        <w:t xml:space="preserve">The purpose of this circular is to provide further information about the Continuing Fund and the Scheme.  </w:t>
      </w:r>
      <w:bookmarkStart w:id="17" w:name="TOClink9"/>
    </w:p>
    <w:p w:rsidR="009E4D35" w:rsidRPr="0009387C" w:rsidRDefault="009E4D35" w:rsidP="000D64DC">
      <w:pPr>
        <w:pStyle w:val="MacLevel1"/>
        <w:keepNext/>
        <w:numPr>
          <w:ilvl w:val="1"/>
          <w:numId w:val="22"/>
        </w:numPr>
        <w:rPr>
          <w:rStyle w:val="MacLevel1TOC"/>
        </w:rPr>
      </w:pPr>
      <w:r w:rsidRPr="0009387C">
        <w:rPr>
          <w:rStyle w:val="MacLevel1TOC"/>
        </w:rPr>
        <w:t>Unitholders’ Extraordinary Resolution</w:t>
      </w:r>
    </w:p>
    <w:bookmarkEnd w:id="17"/>
    <w:p w:rsidR="009E4D35" w:rsidRPr="00135EF3" w:rsidRDefault="009E4D35" w:rsidP="00EF1344">
      <w:pPr>
        <w:pStyle w:val="Body1"/>
        <w:rPr>
          <w:rFonts w:cs="Arial"/>
          <w:b/>
          <w:color w:val="FF0000"/>
        </w:rPr>
      </w:pPr>
      <w:r w:rsidRPr="0009387C">
        <w:rPr>
          <w:rFonts w:cs="Arial"/>
        </w:rPr>
        <w:t xml:space="preserve">The proposal requires the approval of Unitholders in the Discontinuing Fund.  The Manager </w:t>
      </w:r>
      <w:r w:rsidR="00EF1344">
        <w:rPr>
          <w:rFonts w:cs="Arial"/>
        </w:rPr>
        <w:t xml:space="preserve">will </w:t>
      </w:r>
      <w:r w:rsidRPr="0009387C">
        <w:rPr>
          <w:rFonts w:cs="Arial"/>
        </w:rPr>
        <w:t xml:space="preserve">seek approval by way of Extraordinary Resolution of Unitholders in the Discontinuing Fund as set out </w:t>
      </w:r>
      <w:r w:rsidR="008F75A6">
        <w:rPr>
          <w:rFonts w:cs="Arial"/>
        </w:rPr>
        <w:t xml:space="preserve">in </w:t>
      </w:r>
      <w:r w:rsidR="008F75A6" w:rsidRPr="00526093">
        <w:rPr>
          <w:rFonts w:cs="Arial"/>
        </w:rPr>
        <w:t xml:space="preserve">the Notice of Meeting of </w:t>
      </w:r>
      <w:r w:rsidR="008F75A6">
        <w:rPr>
          <w:rFonts w:cs="Arial"/>
        </w:rPr>
        <w:t>Unit</w:t>
      </w:r>
      <w:r w:rsidR="008F75A6" w:rsidRPr="00526093">
        <w:rPr>
          <w:rFonts w:cs="Arial"/>
        </w:rPr>
        <w:t xml:space="preserve">holders </w:t>
      </w:r>
      <w:r w:rsidR="008F75A6">
        <w:rPr>
          <w:rFonts w:cs="Arial"/>
        </w:rPr>
        <w:t>in</w:t>
      </w:r>
      <w:r w:rsidRPr="0009387C">
        <w:rPr>
          <w:rFonts w:cs="Arial"/>
        </w:rPr>
        <w:t xml:space="preserve"> </w:t>
      </w:r>
      <w:r w:rsidR="00FA4FEA">
        <w:fldChar w:fldCharType="begin"/>
      </w:r>
      <w:r w:rsidR="00FA4FEA">
        <w:instrText xml:space="preserve"> REF _Ref370302760 \r \h  \* MERGEFORMAT </w:instrText>
      </w:r>
      <w:r w:rsidR="00FA4FEA">
        <w:fldChar w:fldCharType="separate"/>
      </w:r>
      <w:r w:rsidR="003A19A5" w:rsidRPr="003A19A5">
        <w:rPr>
          <w:rFonts w:cs="Arial"/>
        </w:rPr>
        <w:t>appendix D</w:t>
      </w:r>
      <w:r w:rsidR="00FA4FEA">
        <w:fldChar w:fldCharType="end"/>
      </w:r>
      <w:r w:rsidRPr="0009387C">
        <w:rPr>
          <w:rFonts w:cs="Arial"/>
        </w:rPr>
        <w:t>.</w:t>
      </w:r>
      <w:r w:rsidR="00135EF3">
        <w:rPr>
          <w:rFonts w:cs="Arial"/>
        </w:rPr>
        <w:t xml:space="preserve">  </w:t>
      </w:r>
      <w:r w:rsidR="008F75A6">
        <w:t>Unit</w:t>
      </w:r>
      <w:r w:rsidR="008F75A6" w:rsidRPr="008F75A6">
        <w:t xml:space="preserve">holders may choose to vote on the scheme of arrangement either by attending the meeting in person or by completing the Form of Proxy which accompanies this </w:t>
      </w:r>
      <w:r w:rsidR="008F75A6">
        <w:t>c</w:t>
      </w:r>
      <w:r w:rsidR="008F75A6" w:rsidRPr="008F75A6">
        <w:t>ircular</w:t>
      </w:r>
      <w:r w:rsidR="008F75A6">
        <w:t>.</w:t>
      </w:r>
      <w:r w:rsidR="008F75A6">
        <w:rPr>
          <w:rFonts w:cs="Arial"/>
          <w:b/>
          <w:color w:val="FF0000"/>
        </w:rPr>
        <w:t xml:space="preserve"> </w:t>
      </w:r>
    </w:p>
    <w:p w:rsidR="009E4D35" w:rsidRPr="0009387C" w:rsidRDefault="009E4D35" w:rsidP="000D64DC">
      <w:pPr>
        <w:pStyle w:val="MacLevel1"/>
        <w:keepNext/>
        <w:numPr>
          <w:ilvl w:val="1"/>
          <w:numId w:val="22"/>
        </w:numPr>
        <w:rPr>
          <w:rStyle w:val="MacLevel1TOC"/>
        </w:rPr>
      </w:pPr>
      <w:r w:rsidRPr="0009387C">
        <w:rPr>
          <w:rStyle w:val="MacLevel1TOC"/>
        </w:rPr>
        <w:t>Particulars of the Funds and key differences</w:t>
      </w:r>
    </w:p>
    <w:p w:rsidR="009E4D35" w:rsidRPr="0009387C" w:rsidRDefault="009E4D35" w:rsidP="0009387C">
      <w:pPr>
        <w:pStyle w:val="Body1"/>
        <w:rPr>
          <w:rFonts w:cs="Arial"/>
        </w:rPr>
      </w:pPr>
      <w:r w:rsidRPr="0009387C">
        <w:rPr>
          <w:rFonts w:cs="Arial"/>
        </w:rPr>
        <w:t xml:space="preserve">Details of the Discontinuing Fund (and Units) and the Continuing Fund (and Shares) are set out at </w:t>
      </w:r>
      <w:bookmarkStart w:id="18" w:name="OLE_LINK1"/>
      <w:bookmarkStart w:id="19" w:name="OLE_LINK2"/>
      <w:r w:rsidR="0001150E" w:rsidRPr="0009387C">
        <w:rPr>
          <w:rFonts w:cs="Arial"/>
        </w:rPr>
        <w:fldChar w:fldCharType="begin"/>
      </w:r>
      <w:r w:rsidRPr="0009387C">
        <w:rPr>
          <w:rFonts w:cs="Arial"/>
        </w:rPr>
        <w:instrText xml:space="preserve"> REF _Ref282766499 \r \h  \* MERGEFORMAT </w:instrText>
      </w:r>
      <w:r w:rsidR="0001150E" w:rsidRPr="0009387C">
        <w:rPr>
          <w:rFonts w:cs="Arial"/>
        </w:rPr>
      </w:r>
      <w:r w:rsidR="0001150E" w:rsidRPr="0009387C">
        <w:rPr>
          <w:rFonts w:cs="Arial"/>
        </w:rPr>
        <w:fldChar w:fldCharType="separate"/>
      </w:r>
      <w:r w:rsidR="003A19A5">
        <w:rPr>
          <w:rFonts w:cs="Arial"/>
        </w:rPr>
        <w:t>appendix B</w:t>
      </w:r>
      <w:r w:rsidR="0001150E" w:rsidRPr="0009387C">
        <w:rPr>
          <w:rFonts w:cs="Arial"/>
        </w:rPr>
        <w:fldChar w:fldCharType="end"/>
      </w:r>
      <w:bookmarkEnd w:id="18"/>
      <w:bookmarkEnd w:id="19"/>
      <w:r w:rsidRPr="0009387C">
        <w:rPr>
          <w:rFonts w:cs="Arial"/>
        </w:rPr>
        <w:t xml:space="preserve">. These include a description of the differences between the structure of the Discontinuing Fund and the Continuing Fund, their investment objectives and policies, their investment and borrowing powers and the charges and </w:t>
      </w:r>
      <w:r w:rsidR="00075D95">
        <w:rPr>
          <w:rFonts w:cs="Arial"/>
        </w:rPr>
        <w:t xml:space="preserve">minimum </w:t>
      </w:r>
      <w:r w:rsidRPr="0009387C">
        <w:rPr>
          <w:rFonts w:cs="Arial"/>
        </w:rPr>
        <w:t>investment amounts applicable.</w:t>
      </w:r>
    </w:p>
    <w:p w:rsidR="009E4D35" w:rsidRPr="0009387C" w:rsidRDefault="009E4D35" w:rsidP="00A24CFD">
      <w:pPr>
        <w:pStyle w:val="Body1"/>
        <w:rPr>
          <w:rFonts w:cs="Arial"/>
        </w:rPr>
      </w:pPr>
      <w:r w:rsidRPr="0009387C">
        <w:rPr>
          <w:rFonts w:cs="Arial"/>
        </w:rPr>
        <w:t xml:space="preserve">A copy of the </w:t>
      </w:r>
      <w:r w:rsidR="00EF1344">
        <w:rPr>
          <w:rFonts w:cs="Arial"/>
        </w:rPr>
        <w:t xml:space="preserve">NURS </w:t>
      </w:r>
      <w:r w:rsidR="005507EA">
        <w:rPr>
          <w:rFonts w:cs="Arial"/>
        </w:rPr>
        <w:t>KII</w:t>
      </w:r>
      <w:r w:rsidR="0015454F" w:rsidRPr="0009387C">
        <w:rPr>
          <w:rFonts w:cs="Arial"/>
        </w:rPr>
        <w:t xml:space="preserve"> </w:t>
      </w:r>
      <w:r w:rsidRPr="0009387C">
        <w:rPr>
          <w:rFonts w:cs="Arial"/>
        </w:rPr>
        <w:t xml:space="preserve">relating to the Continuing Fund is </w:t>
      </w:r>
      <w:r w:rsidR="00151C98">
        <w:rPr>
          <w:rFonts w:cs="Arial"/>
        </w:rPr>
        <w:t>available on the ACD’s website (www.henderson.com).</w:t>
      </w:r>
      <w:r w:rsidRPr="0009387C">
        <w:rPr>
          <w:rFonts w:cs="Arial"/>
        </w:rPr>
        <w:t xml:space="preserve"> </w:t>
      </w:r>
    </w:p>
    <w:p w:rsidR="009E4D35" w:rsidRPr="0009387C" w:rsidRDefault="009E4D35" w:rsidP="0009387C">
      <w:pPr>
        <w:pStyle w:val="Body1"/>
        <w:rPr>
          <w:rFonts w:cs="Arial"/>
          <w:i/>
        </w:rPr>
      </w:pPr>
      <w:r w:rsidRPr="0009387C">
        <w:rPr>
          <w:rFonts w:cs="Arial"/>
          <w:szCs w:val="18"/>
        </w:rPr>
        <w:t xml:space="preserve">A copy of the </w:t>
      </w:r>
      <w:r w:rsidR="000757A6">
        <w:rPr>
          <w:rFonts w:cs="Arial"/>
        </w:rPr>
        <w:t>NURS KII</w:t>
      </w:r>
      <w:r w:rsidR="000757A6" w:rsidRPr="0009387C">
        <w:rPr>
          <w:rFonts w:cs="Arial"/>
        </w:rPr>
        <w:t xml:space="preserve"> </w:t>
      </w:r>
      <w:r w:rsidRPr="0009387C">
        <w:rPr>
          <w:rFonts w:cs="Arial"/>
          <w:szCs w:val="18"/>
        </w:rPr>
        <w:t>relating to the Discontinuing Fund</w:t>
      </w:r>
      <w:r w:rsidRPr="0009387C">
        <w:rPr>
          <w:rFonts w:cs="Arial"/>
        </w:rPr>
        <w:t xml:space="preserve"> is available on request from the Manager. </w:t>
      </w:r>
    </w:p>
    <w:p w:rsidR="009E4D35" w:rsidRPr="0009387C" w:rsidRDefault="009E4D35" w:rsidP="0009387C">
      <w:pPr>
        <w:pStyle w:val="Body1"/>
        <w:rPr>
          <w:rFonts w:cs="Arial"/>
        </w:rPr>
      </w:pPr>
      <w:r w:rsidRPr="0009387C">
        <w:rPr>
          <w:rFonts w:cs="Arial"/>
        </w:rPr>
        <w:t>The key differences between the Discontinuing Fund and the Continuing Fund are as follows:</w:t>
      </w:r>
    </w:p>
    <w:p w:rsidR="00F96939" w:rsidRDefault="00F96939" w:rsidP="000D64DC">
      <w:pPr>
        <w:pStyle w:val="MacLevel2"/>
        <w:numPr>
          <w:ilvl w:val="2"/>
          <w:numId w:val="22"/>
        </w:numPr>
        <w:rPr>
          <w:rFonts w:cs="Arial"/>
        </w:rPr>
      </w:pPr>
      <w:r>
        <w:rPr>
          <w:rFonts w:cs="Arial"/>
        </w:rPr>
        <w:lastRenderedPageBreak/>
        <w:t>Legal Structure</w:t>
      </w:r>
    </w:p>
    <w:p w:rsidR="00F96939" w:rsidRPr="00F96939" w:rsidRDefault="00F96939" w:rsidP="00F96939">
      <w:pPr>
        <w:pStyle w:val="Body1"/>
        <w:rPr>
          <w:rFonts w:cs="Arial"/>
        </w:rPr>
      </w:pPr>
      <w:r>
        <w:rPr>
          <w:rFonts w:cs="Arial"/>
        </w:rPr>
        <w:t xml:space="preserve">The Discontinuing Fund and the Continuing Fund have different legal structures.  The Discontinuing Fund is an authorised unit trust whereas the Continuing Fund is an investment company with variable capital.  Information about the differences in the two structures are set out in </w:t>
      </w:r>
      <w:r w:rsidR="005507EA">
        <w:rPr>
          <w:rFonts w:cs="Arial"/>
        </w:rPr>
        <w:t>a</w:t>
      </w:r>
      <w:r>
        <w:rPr>
          <w:rFonts w:cs="Arial"/>
        </w:rPr>
        <w:t>ppendix B.</w:t>
      </w:r>
    </w:p>
    <w:p w:rsidR="009E4D35" w:rsidRPr="0009387C" w:rsidRDefault="009E4D35" w:rsidP="000D64DC">
      <w:pPr>
        <w:pStyle w:val="MacLevel2"/>
        <w:numPr>
          <w:ilvl w:val="2"/>
          <w:numId w:val="22"/>
        </w:numPr>
        <w:rPr>
          <w:rFonts w:cs="Arial"/>
        </w:rPr>
      </w:pPr>
      <w:r w:rsidRPr="0009387C">
        <w:t xml:space="preserve">Investment Objective </w:t>
      </w:r>
    </w:p>
    <w:p w:rsidR="009E4D35" w:rsidRPr="0009387C" w:rsidRDefault="009E4D35" w:rsidP="0009387C">
      <w:pPr>
        <w:pStyle w:val="ScheduleLevel2"/>
        <w:numPr>
          <w:ilvl w:val="0"/>
          <w:numId w:val="0"/>
        </w:numPr>
        <w:ind w:left="862"/>
        <w:rPr>
          <w:rFonts w:cs="Arial"/>
        </w:rPr>
      </w:pPr>
      <w:r w:rsidRPr="0009387C">
        <w:rPr>
          <w:rFonts w:cs="Arial"/>
        </w:rPr>
        <w:t xml:space="preserve">The Discontinuing Fund aims to </w:t>
      </w:r>
      <w:r w:rsidR="000F311C" w:rsidRPr="000F311C">
        <w:rPr>
          <w:rFonts w:cs="Arial"/>
        </w:rPr>
        <w:t>provide capital growth and income from investment in a diversified property portfolio, primarily in direct property, but may include property related securities and collective investment schemes, property derivatives, cash and near cash, and government and other public securities.</w:t>
      </w:r>
    </w:p>
    <w:p w:rsidR="009E4D35" w:rsidRPr="0009387C" w:rsidRDefault="009E4D35" w:rsidP="0009387C">
      <w:pPr>
        <w:pStyle w:val="ScheduleLevel2"/>
        <w:numPr>
          <w:ilvl w:val="0"/>
          <w:numId w:val="0"/>
        </w:numPr>
        <w:ind w:left="862"/>
        <w:rPr>
          <w:rFonts w:cs="Arial"/>
        </w:rPr>
      </w:pPr>
      <w:r w:rsidRPr="0009387C">
        <w:rPr>
          <w:rFonts w:cs="Arial"/>
        </w:rPr>
        <w:t xml:space="preserve">The Continuing Fund aims to achieve a </w:t>
      </w:r>
      <w:r w:rsidR="000F311C">
        <w:rPr>
          <w:rFonts w:cs="Arial"/>
        </w:rPr>
        <w:t>high income together with some growth of both income and capital</w:t>
      </w:r>
      <w:r w:rsidRPr="0009387C">
        <w:rPr>
          <w:rFonts w:cs="Arial"/>
        </w:rPr>
        <w:t>.</w:t>
      </w:r>
    </w:p>
    <w:p w:rsidR="009E4D35" w:rsidRPr="0009387C" w:rsidRDefault="009E4D35" w:rsidP="0009387C">
      <w:pPr>
        <w:pStyle w:val="ScheduleLevel2"/>
        <w:numPr>
          <w:ilvl w:val="0"/>
          <w:numId w:val="0"/>
        </w:numPr>
        <w:ind w:left="862"/>
        <w:rPr>
          <w:rFonts w:cs="Arial"/>
        </w:rPr>
      </w:pPr>
      <w:r w:rsidRPr="0009387C">
        <w:rPr>
          <w:rFonts w:cs="Arial"/>
        </w:rPr>
        <w:t xml:space="preserve">The full investment objectives and policies of the Discontinuing Fund and the Continuing Fund are set out in </w:t>
      </w:r>
      <w:r w:rsidR="00FA4FEA">
        <w:fldChar w:fldCharType="begin"/>
      </w:r>
      <w:r w:rsidR="00FA4FEA">
        <w:instrText xml:space="preserve"> REF _Ref282766499 \r \h  \* MERGEFORMAT </w:instrText>
      </w:r>
      <w:r w:rsidR="00FA4FEA">
        <w:fldChar w:fldCharType="separate"/>
      </w:r>
      <w:r w:rsidR="003A19A5" w:rsidRPr="003A19A5">
        <w:rPr>
          <w:rFonts w:cs="Arial"/>
        </w:rPr>
        <w:t>appendix B</w:t>
      </w:r>
      <w:r w:rsidR="00FA4FEA">
        <w:fldChar w:fldCharType="end"/>
      </w:r>
      <w:r w:rsidRPr="0009387C">
        <w:rPr>
          <w:rFonts w:cs="Arial"/>
        </w:rPr>
        <w:t xml:space="preserve">. </w:t>
      </w:r>
    </w:p>
    <w:p w:rsidR="00D53074" w:rsidRDefault="00D53074" w:rsidP="000D64DC">
      <w:pPr>
        <w:pStyle w:val="Body2"/>
        <w:numPr>
          <w:ilvl w:val="2"/>
          <w:numId w:val="22"/>
        </w:numPr>
      </w:pPr>
      <w:r>
        <w:t>Investment Powers</w:t>
      </w:r>
    </w:p>
    <w:p w:rsidR="00D53074" w:rsidRPr="00CA6D1B" w:rsidRDefault="008F61B8" w:rsidP="00D53074">
      <w:pPr>
        <w:pStyle w:val="ScheduleLevel1"/>
        <w:numPr>
          <w:ilvl w:val="0"/>
          <w:numId w:val="0"/>
        </w:numPr>
        <w:tabs>
          <w:tab w:val="num" w:pos="3456"/>
        </w:tabs>
        <w:ind w:left="864"/>
      </w:pPr>
      <w:r>
        <w:rPr>
          <w:rFonts w:cs="Arial"/>
        </w:rPr>
        <w:t>The investment powers of the Discontinuing Fund and the Continuing Fund are broadly similar. However, t</w:t>
      </w:r>
      <w:r w:rsidR="00CA6D1B">
        <w:rPr>
          <w:rFonts w:cs="Arial"/>
        </w:rPr>
        <w:t xml:space="preserve">he Discontinuing Fund will invest between 65% and 100% </w:t>
      </w:r>
      <w:r w:rsidR="00075D95">
        <w:rPr>
          <w:rFonts w:cs="Arial"/>
        </w:rPr>
        <w:t>in physical property</w:t>
      </w:r>
      <w:r>
        <w:t xml:space="preserve">, </w:t>
      </w:r>
      <w:r w:rsidR="00232DBC">
        <w:t>whereas the</w:t>
      </w:r>
      <w:r w:rsidR="00CA6D1B" w:rsidRPr="007C56F5">
        <w:rPr>
          <w:rFonts w:cs="Arial"/>
        </w:rPr>
        <w:t xml:space="preserve"> </w:t>
      </w:r>
      <w:r w:rsidR="00CA6D1B">
        <w:rPr>
          <w:rFonts w:cs="Arial"/>
        </w:rPr>
        <w:t xml:space="preserve">Continuing </w:t>
      </w:r>
      <w:r w:rsidR="00CA6D1B" w:rsidRPr="007C56F5">
        <w:rPr>
          <w:rFonts w:cs="Arial"/>
        </w:rPr>
        <w:t xml:space="preserve">Fund may invest up to 100% in </w:t>
      </w:r>
      <w:r w:rsidR="00075D95">
        <w:rPr>
          <w:rFonts w:cs="Arial"/>
        </w:rPr>
        <w:t>physical property</w:t>
      </w:r>
      <w:r w:rsidR="00CA6D1B" w:rsidRPr="007C56F5">
        <w:rPr>
          <w:rFonts w:cs="Arial"/>
        </w:rPr>
        <w:t>, but</w:t>
      </w:r>
      <w:r w:rsidR="00CA6D1B">
        <w:rPr>
          <w:rFonts w:cs="Arial"/>
        </w:rPr>
        <w:t xml:space="preserve"> </w:t>
      </w:r>
      <w:r w:rsidR="00CA6D1B" w:rsidRPr="007C56F5">
        <w:rPr>
          <w:rFonts w:cs="Arial"/>
        </w:rPr>
        <w:t>will typically invest no more than 90% of the val</w:t>
      </w:r>
      <w:r w:rsidR="00CA6D1B">
        <w:rPr>
          <w:rFonts w:cs="Arial"/>
        </w:rPr>
        <w:t xml:space="preserve">ue of the </w:t>
      </w:r>
      <w:r w:rsidR="00075D95">
        <w:rPr>
          <w:rFonts w:cs="Arial"/>
        </w:rPr>
        <w:t>Fund in physical property</w:t>
      </w:r>
      <w:r w:rsidR="00CA6D1B">
        <w:rPr>
          <w:rFonts w:cs="Arial"/>
        </w:rPr>
        <w:t>.</w:t>
      </w:r>
      <w:r>
        <w:rPr>
          <w:rFonts w:cs="Arial"/>
        </w:rPr>
        <w:t xml:space="preserve"> Further details of the differences are set out in </w:t>
      </w:r>
      <w:r>
        <w:rPr>
          <w:rFonts w:cs="Arial"/>
        </w:rPr>
        <w:fldChar w:fldCharType="begin"/>
      </w:r>
      <w:r>
        <w:rPr>
          <w:rFonts w:cs="Arial"/>
        </w:rPr>
        <w:instrText xml:space="preserve"> REF _Ref282766499 \r \h </w:instrText>
      </w:r>
      <w:r>
        <w:rPr>
          <w:rFonts w:cs="Arial"/>
        </w:rPr>
      </w:r>
      <w:r>
        <w:rPr>
          <w:rFonts w:cs="Arial"/>
        </w:rPr>
        <w:fldChar w:fldCharType="separate"/>
      </w:r>
      <w:r w:rsidR="003A19A5">
        <w:rPr>
          <w:rFonts w:cs="Arial"/>
        </w:rPr>
        <w:t>appendix B</w:t>
      </w:r>
      <w:r>
        <w:rPr>
          <w:rFonts w:cs="Arial"/>
        </w:rPr>
        <w:fldChar w:fldCharType="end"/>
      </w:r>
      <w:r>
        <w:rPr>
          <w:rFonts w:cs="Arial"/>
        </w:rPr>
        <w:t>.</w:t>
      </w:r>
    </w:p>
    <w:p w:rsidR="009E4D35" w:rsidRPr="0009387C" w:rsidRDefault="009E4D35" w:rsidP="000D64DC">
      <w:pPr>
        <w:pStyle w:val="Body2"/>
        <w:numPr>
          <w:ilvl w:val="2"/>
          <w:numId w:val="22"/>
        </w:numPr>
      </w:pPr>
      <w:r w:rsidRPr="0009387C">
        <w:t>Derivatives</w:t>
      </w:r>
    </w:p>
    <w:p w:rsidR="009E4D35" w:rsidRDefault="009E4D35" w:rsidP="00CE39B0">
      <w:pPr>
        <w:pStyle w:val="Body2"/>
        <w:rPr>
          <w:rFonts w:cs="Arial"/>
        </w:rPr>
      </w:pPr>
      <w:r w:rsidRPr="0009387C">
        <w:t xml:space="preserve">The Discontinuing Fund may use derivatives </w:t>
      </w:r>
      <w:r w:rsidR="000F311C">
        <w:t xml:space="preserve">where the Manager reasonably believes it to be economically appropriate </w:t>
      </w:r>
      <w:r w:rsidRPr="0009387C">
        <w:t>for efficient portfolio management. The Continui</w:t>
      </w:r>
      <w:r w:rsidR="00026607">
        <w:t>ng Fund may use derivatives for</w:t>
      </w:r>
      <w:r w:rsidRPr="0009387C">
        <w:t xml:space="preserve"> efficient portfolio management </w:t>
      </w:r>
      <w:r w:rsidR="000F311C">
        <w:t>and currency hedging</w:t>
      </w:r>
      <w:r w:rsidRPr="0009387C">
        <w:t xml:space="preserve">. </w:t>
      </w:r>
      <w:r w:rsidR="00CA6D1B" w:rsidRPr="00D231E0">
        <w:rPr>
          <w:rFonts w:cs="Arial"/>
        </w:rPr>
        <w:t>As the market in property derivatives</w:t>
      </w:r>
      <w:r w:rsidR="00CA6D1B">
        <w:rPr>
          <w:rFonts w:cs="Arial"/>
        </w:rPr>
        <w:t xml:space="preserve"> </w:t>
      </w:r>
      <w:r w:rsidR="00CA6D1B" w:rsidRPr="00D231E0">
        <w:rPr>
          <w:rFonts w:cs="Arial"/>
        </w:rPr>
        <w:t>develops, derivatives may be used outside of efficient portfolio management to meet the</w:t>
      </w:r>
      <w:r w:rsidR="00CA6D1B">
        <w:rPr>
          <w:rFonts w:cs="Arial"/>
        </w:rPr>
        <w:t xml:space="preserve"> Continuing Fund</w:t>
      </w:r>
      <w:r w:rsidR="00CA6D1B" w:rsidRPr="00D231E0">
        <w:rPr>
          <w:rFonts w:cs="Arial"/>
        </w:rPr>
        <w:t>'s investment objective</w:t>
      </w:r>
      <w:r w:rsidR="00CA6D1B">
        <w:rPr>
          <w:rFonts w:cs="Arial"/>
        </w:rPr>
        <w:t xml:space="preserve">.  </w:t>
      </w:r>
      <w:r w:rsidR="00CA6D1B" w:rsidRPr="00D231E0">
        <w:rPr>
          <w:rFonts w:cs="Arial"/>
        </w:rPr>
        <w:t xml:space="preserve">If </w:t>
      </w:r>
      <w:r w:rsidR="00CE39B0">
        <w:rPr>
          <w:rFonts w:cs="Arial"/>
        </w:rPr>
        <w:t>it</w:t>
      </w:r>
      <w:r w:rsidR="00CA6D1B" w:rsidRPr="00D231E0">
        <w:rPr>
          <w:rFonts w:cs="Arial"/>
        </w:rPr>
        <w:t xml:space="preserve"> decides to use derivatives for purposes outside of</w:t>
      </w:r>
      <w:r w:rsidR="00CA6D1B">
        <w:rPr>
          <w:rFonts w:cs="Arial"/>
        </w:rPr>
        <w:t xml:space="preserve"> </w:t>
      </w:r>
      <w:r w:rsidR="00CA6D1B" w:rsidRPr="00D231E0">
        <w:rPr>
          <w:rFonts w:cs="Arial"/>
        </w:rPr>
        <w:t xml:space="preserve">efficient portfolio management, the ACD will give notice to </w:t>
      </w:r>
      <w:r w:rsidR="00CA6D1B">
        <w:rPr>
          <w:rFonts w:cs="Arial"/>
        </w:rPr>
        <w:t>s</w:t>
      </w:r>
      <w:r w:rsidR="00CA6D1B" w:rsidRPr="00D231E0">
        <w:rPr>
          <w:rFonts w:cs="Arial"/>
        </w:rPr>
        <w:t>hareholders</w:t>
      </w:r>
      <w:r w:rsidR="00CA6D1B">
        <w:rPr>
          <w:rFonts w:cs="Arial"/>
        </w:rPr>
        <w:t>.</w:t>
      </w:r>
    </w:p>
    <w:p w:rsidR="008F61B8" w:rsidRPr="00D53074" w:rsidRDefault="000A535D" w:rsidP="00CE39B0">
      <w:pPr>
        <w:pStyle w:val="Body2"/>
        <w:rPr>
          <w:color w:val="FF0000"/>
        </w:rPr>
      </w:pPr>
      <w:r>
        <w:rPr>
          <w:rFonts w:cs="Arial"/>
        </w:rPr>
        <w:t>To the extent that derivatives are used, t</w:t>
      </w:r>
      <w:r w:rsidR="008F61B8">
        <w:rPr>
          <w:rFonts w:cs="Arial"/>
        </w:rPr>
        <w:t>he use of derivatives for the purposes of efficient portfolio management is not expected to</w:t>
      </w:r>
      <w:r w:rsidR="008F61B8" w:rsidRPr="008F61B8">
        <w:rPr>
          <w:rFonts w:cs="Arial"/>
        </w:rPr>
        <w:t xml:space="preserve"> affect the risk profile of </w:t>
      </w:r>
      <w:r w:rsidR="008F61B8">
        <w:rPr>
          <w:rFonts w:cs="Arial"/>
        </w:rPr>
        <w:t>t</w:t>
      </w:r>
      <w:r w:rsidR="00AD5707">
        <w:rPr>
          <w:rFonts w:cs="Arial"/>
        </w:rPr>
        <w:t>he F</w:t>
      </w:r>
      <w:r w:rsidR="008F61B8">
        <w:rPr>
          <w:rFonts w:cs="Arial"/>
        </w:rPr>
        <w:t>unds</w:t>
      </w:r>
      <w:r w:rsidR="008F61B8" w:rsidRPr="008F61B8">
        <w:rPr>
          <w:rFonts w:cs="Arial"/>
        </w:rPr>
        <w:t>.</w:t>
      </w:r>
      <w:r w:rsidR="008F61B8">
        <w:rPr>
          <w:rFonts w:cs="Arial"/>
        </w:rPr>
        <w:t xml:space="preserve"> </w:t>
      </w:r>
      <w:r w:rsidR="008F61B8" w:rsidRPr="008F61B8">
        <w:rPr>
          <w:rFonts w:cs="Arial"/>
        </w:rPr>
        <w:t xml:space="preserve">In the event that </w:t>
      </w:r>
      <w:r w:rsidR="008F61B8">
        <w:rPr>
          <w:rFonts w:cs="Arial"/>
        </w:rPr>
        <w:t>the Continuing Fund</w:t>
      </w:r>
      <w:r w:rsidR="008F61B8" w:rsidRPr="008F61B8">
        <w:rPr>
          <w:rFonts w:cs="Arial"/>
        </w:rPr>
        <w:t xml:space="preserve"> d</w:t>
      </w:r>
      <w:r>
        <w:rPr>
          <w:rFonts w:cs="Arial"/>
        </w:rPr>
        <w:t>oes</w:t>
      </w:r>
      <w:r w:rsidR="008F61B8" w:rsidRPr="008F61B8">
        <w:rPr>
          <w:rFonts w:cs="Arial"/>
        </w:rPr>
        <w:t xml:space="preserve"> use derivatives for investment purposes this might, at times, increase the volatility of the </w:t>
      </w:r>
      <w:r w:rsidR="008F61B8">
        <w:rPr>
          <w:rFonts w:cs="Arial"/>
        </w:rPr>
        <w:t>Continuing F</w:t>
      </w:r>
      <w:r w:rsidR="00AD5707">
        <w:rPr>
          <w:rFonts w:cs="Arial"/>
        </w:rPr>
        <w:t>und’s Net Asset Value</w:t>
      </w:r>
      <w:r w:rsidR="008F61B8" w:rsidRPr="008F61B8">
        <w:rPr>
          <w:rFonts w:cs="Arial"/>
        </w:rPr>
        <w:t xml:space="preserve"> and change the risk profile of the </w:t>
      </w:r>
      <w:r w:rsidR="00AD5707">
        <w:rPr>
          <w:rFonts w:cs="Arial"/>
        </w:rPr>
        <w:t>Continuing F</w:t>
      </w:r>
      <w:r w:rsidR="008F61B8" w:rsidRPr="008F61B8">
        <w:rPr>
          <w:rFonts w:cs="Arial"/>
        </w:rPr>
        <w:t>und.</w:t>
      </w:r>
    </w:p>
    <w:p w:rsidR="00F10CD1" w:rsidRDefault="00F10CD1" w:rsidP="00F10CD1">
      <w:pPr>
        <w:pStyle w:val="ScheduleLevel1"/>
      </w:pPr>
      <w:r>
        <w:t>Ongoing Charges</w:t>
      </w:r>
    </w:p>
    <w:p w:rsidR="00F10CD1" w:rsidRPr="00F10CD1" w:rsidRDefault="00A24CFD" w:rsidP="00F10CD1">
      <w:pPr>
        <w:pStyle w:val="Body1"/>
        <w:rPr>
          <w:i/>
        </w:rPr>
      </w:pPr>
      <w:r>
        <w:t xml:space="preserve">The ongoing charges </w:t>
      </w:r>
      <w:r w:rsidR="00891E76">
        <w:t>figures</w:t>
      </w:r>
      <w:r>
        <w:t xml:space="preserve"> for the Funds are set out in appendix B.  Investors will benefit from the overall lower costs of the Continuing Fund.</w:t>
      </w:r>
      <w:r w:rsidR="000A535D" w:rsidRPr="000A535D">
        <w:t xml:space="preserve"> This reduction is partly due to the greater efficiency of the larger Continuing Fund and partly because the Continuing Fund does not have an external sub-</w:t>
      </w:r>
      <w:r w:rsidR="000A535D">
        <w:t>advisor to manage the portfolio</w:t>
      </w:r>
      <w:r w:rsidR="000A535D" w:rsidRPr="000A535D">
        <w:t>.</w:t>
      </w:r>
      <w:r w:rsidR="000A535D" w:rsidRPr="000A535D" w:rsidDel="00AD5707">
        <w:t xml:space="preserve"> </w:t>
      </w:r>
    </w:p>
    <w:p w:rsidR="009E4D35" w:rsidRPr="0009387C" w:rsidRDefault="00075D95" w:rsidP="0052275C">
      <w:pPr>
        <w:pStyle w:val="ScheduleLevel2"/>
        <w:keepNext/>
        <w:numPr>
          <w:ilvl w:val="0"/>
          <w:numId w:val="0"/>
        </w:numPr>
        <w:tabs>
          <w:tab w:val="left" w:pos="900"/>
        </w:tabs>
      </w:pPr>
      <w:r>
        <w:t>3.6</w:t>
      </w:r>
      <w:r w:rsidR="00F10CD1">
        <w:tab/>
      </w:r>
      <w:r w:rsidR="00816C0C">
        <w:t>Risk profile</w:t>
      </w:r>
    </w:p>
    <w:p w:rsidR="000E0130" w:rsidRDefault="005D562C" w:rsidP="0052275C">
      <w:pPr>
        <w:pStyle w:val="Body2"/>
        <w:keepNext/>
      </w:pPr>
      <w:r w:rsidRPr="005D562C">
        <w:t xml:space="preserve">Both the Continuing Fund and the Discontinuing Fund can be considered as ‘core’ property funds, providing investors with balanced and diversified exposure to the UK commercial property market.  As such, the </w:t>
      </w:r>
      <w:r w:rsidR="00FA4FEA">
        <w:t>F</w:t>
      </w:r>
      <w:r w:rsidRPr="005D562C">
        <w:t>unds offer a similar risk profile to investors</w:t>
      </w:r>
      <w:r w:rsidR="000E0130">
        <w:t>.</w:t>
      </w:r>
    </w:p>
    <w:p w:rsidR="00075D95" w:rsidRDefault="00075D95" w:rsidP="00075D95">
      <w:pPr>
        <w:pStyle w:val="ScheduleLevel1"/>
        <w:numPr>
          <w:ilvl w:val="0"/>
          <w:numId w:val="0"/>
        </w:numPr>
        <w:ind w:left="864"/>
      </w:pPr>
    </w:p>
    <w:p w:rsidR="00075D95" w:rsidRDefault="00075D95" w:rsidP="00075D95">
      <w:pPr>
        <w:pStyle w:val="ScheduleLevel1"/>
        <w:numPr>
          <w:ilvl w:val="0"/>
          <w:numId w:val="0"/>
        </w:numPr>
        <w:ind w:left="864"/>
      </w:pPr>
    </w:p>
    <w:p w:rsidR="00414D95" w:rsidRDefault="00414D95" w:rsidP="00075D95">
      <w:pPr>
        <w:pStyle w:val="ScheduleLevel1"/>
        <w:numPr>
          <w:ilvl w:val="2"/>
          <w:numId w:val="34"/>
        </w:numPr>
      </w:pPr>
      <w:r>
        <w:lastRenderedPageBreak/>
        <w:t>Allocation/distribution Dates</w:t>
      </w:r>
    </w:p>
    <w:p w:rsidR="00414D95" w:rsidRPr="0009387C" w:rsidRDefault="00414D95" w:rsidP="00FF47E0">
      <w:pPr>
        <w:pStyle w:val="Body2"/>
        <w:keepNext/>
        <w:ind w:left="851"/>
      </w:pPr>
      <w:r>
        <w:t xml:space="preserve">The Continuing Fund allocates and distributes income more frequently than the Discontinuing </w:t>
      </w:r>
      <w:r w:rsidR="00075D95">
        <w:t xml:space="preserve">Fund. </w:t>
      </w:r>
      <w:r>
        <w:t xml:space="preserve">For details of the exact allocation and distribution dates see the relevant “Key Terms” table in </w:t>
      </w:r>
      <w:r>
        <w:fldChar w:fldCharType="begin"/>
      </w:r>
      <w:r>
        <w:instrText xml:space="preserve"> REF _Ref282766499 \r \h </w:instrText>
      </w:r>
      <w:r>
        <w:fldChar w:fldCharType="separate"/>
      </w:r>
      <w:r w:rsidR="003A19A5">
        <w:t>appendix B</w:t>
      </w:r>
      <w:r>
        <w:fldChar w:fldCharType="end"/>
      </w:r>
      <w:r>
        <w:t xml:space="preserve">. </w:t>
      </w:r>
    </w:p>
    <w:p w:rsidR="009E4D35" w:rsidRPr="0009387C" w:rsidRDefault="009E4D35" w:rsidP="00CE39B0">
      <w:pPr>
        <w:pStyle w:val="MacLevel1"/>
        <w:keepNext/>
        <w:numPr>
          <w:ilvl w:val="1"/>
          <w:numId w:val="22"/>
        </w:numPr>
        <w:rPr>
          <w:rStyle w:val="MacLevel1TOC"/>
        </w:rPr>
      </w:pPr>
      <w:r w:rsidRPr="0009387C">
        <w:rPr>
          <w:rStyle w:val="MacLevel1TOC"/>
        </w:rPr>
        <w:t xml:space="preserve">Form of Scheme and </w:t>
      </w:r>
      <w:r w:rsidR="006619CA">
        <w:rPr>
          <w:rStyle w:val="MacLevel1TOC"/>
        </w:rPr>
        <w:t>E</w:t>
      </w:r>
      <w:r w:rsidRPr="0009387C">
        <w:rPr>
          <w:rStyle w:val="MacLevel1TOC"/>
        </w:rPr>
        <w:t xml:space="preserve">ffective </w:t>
      </w:r>
      <w:r w:rsidR="006619CA">
        <w:rPr>
          <w:rStyle w:val="MacLevel1TOC"/>
        </w:rPr>
        <w:t>D</w:t>
      </w:r>
      <w:r w:rsidRPr="0009387C">
        <w:rPr>
          <w:rStyle w:val="MacLevel1TOC"/>
        </w:rPr>
        <w:t>ate</w:t>
      </w:r>
    </w:p>
    <w:p w:rsidR="009E4D35" w:rsidRPr="0009387C" w:rsidRDefault="009E4D35" w:rsidP="0009387C">
      <w:pPr>
        <w:pStyle w:val="Body1"/>
        <w:rPr>
          <w:rFonts w:cs="Arial"/>
        </w:rPr>
      </w:pPr>
      <w:r w:rsidRPr="0009387C">
        <w:rPr>
          <w:rFonts w:cs="Arial"/>
        </w:rPr>
        <w:t xml:space="preserve">A Scheme has been prepared to implement the proposals and is set out in full in </w:t>
      </w:r>
      <w:r w:rsidRPr="0009387C">
        <w:t>appendix A.</w:t>
      </w:r>
      <w:r w:rsidRPr="0009387C">
        <w:rPr>
          <w:rFonts w:cs="Arial"/>
        </w:rPr>
        <w:t xml:space="preserve">  The approval and adoption of the Scheme is dependent on the approval of Unitholders in the Discontinuing Fund by an Extraordinary Resolution, details of which are in </w:t>
      </w:r>
      <w:r w:rsidR="00FA4FEA">
        <w:fldChar w:fldCharType="begin"/>
      </w:r>
      <w:r w:rsidR="00FA4FEA">
        <w:instrText xml:space="preserve"> REF _Ref370302760 \r \h  \* MERGEFORMAT </w:instrText>
      </w:r>
      <w:r w:rsidR="00FA4FEA">
        <w:fldChar w:fldCharType="separate"/>
      </w:r>
      <w:r w:rsidR="003A19A5" w:rsidRPr="003A19A5">
        <w:rPr>
          <w:rFonts w:cs="Arial"/>
        </w:rPr>
        <w:t>appendix D</w:t>
      </w:r>
      <w:r w:rsidR="00FA4FEA">
        <w:fldChar w:fldCharType="end"/>
      </w:r>
      <w:r w:rsidRPr="0009387C">
        <w:rPr>
          <w:rFonts w:cs="Arial"/>
        </w:rPr>
        <w:t>.</w:t>
      </w:r>
    </w:p>
    <w:p w:rsidR="009E4D35" w:rsidRPr="0009387C" w:rsidRDefault="009E4D35" w:rsidP="00CE39B0">
      <w:pPr>
        <w:pStyle w:val="Body1"/>
        <w:rPr>
          <w:rFonts w:cs="Arial"/>
        </w:rPr>
      </w:pPr>
      <w:r w:rsidRPr="0009387C">
        <w:rPr>
          <w:rFonts w:cs="Arial"/>
        </w:rPr>
        <w:t xml:space="preserve">If the Scheme is approved the </w:t>
      </w:r>
      <w:r w:rsidR="00CE39B0">
        <w:rPr>
          <w:rFonts w:cs="Arial"/>
        </w:rPr>
        <w:t>E</w:t>
      </w:r>
      <w:r w:rsidRPr="0009387C">
        <w:rPr>
          <w:rFonts w:cs="Arial"/>
        </w:rPr>
        <w:t xml:space="preserve">ffective </w:t>
      </w:r>
      <w:r w:rsidR="00CE39B0">
        <w:rPr>
          <w:rFonts w:cs="Arial"/>
        </w:rPr>
        <w:t>D</w:t>
      </w:r>
      <w:r w:rsidRPr="0009387C">
        <w:rPr>
          <w:rFonts w:cs="Arial"/>
        </w:rPr>
        <w:t xml:space="preserve">ate will be </w:t>
      </w:r>
      <w:r w:rsidR="00F1580E">
        <w:rPr>
          <w:rFonts w:cs="Arial"/>
        </w:rPr>
        <w:t>15</w:t>
      </w:r>
      <w:r w:rsidR="008D692D">
        <w:rPr>
          <w:rFonts w:cs="Arial"/>
        </w:rPr>
        <w:t xml:space="preserve"> January 2015</w:t>
      </w:r>
      <w:r w:rsidRPr="0009387C">
        <w:rPr>
          <w:rFonts w:cs="Arial"/>
        </w:rPr>
        <w:t xml:space="preserve"> or such later date as is determined by the Manager</w:t>
      </w:r>
      <w:r w:rsidR="00CE39B0">
        <w:rPr>
          <w:rFonts w:cs="Arial"/>
        </w:rPr>
        <w:t>,</w:t>
      </w:r>
      <w:r w:rsidRPr="0009387C">
        <w:rPr>
          <w:rFonts w:cs="Arial"/>
        </w:rPr>
        <w:t xml:space="preserve"> </w:t>
      </w:r>
      <w:r w:rsidR="00CE39B0">
        <w:rPr>
          <w:rFonts w:cs="Arial"/>
        </w:rPr>
        <w:t>the</w:t>
      </w:r>
      <w:r w:rsidRPr="0009387C">
        <w:rPr>
          <w:rFonts w:cs="Arial"/>
        </w:rPr>
        <w:t xml:space="preserve"> Trustee</w:t>
      </w:r>
      <w:r w:rsidR="00CE39B0">
        <w:rPr>
          <w:rFonts w:cs="Arial"/>
        </w:rPr>
        <w:t>, the ACD and the Depositary.</w:t>
      </w:r>
      <w:r w:rsidRPr="0009387C">
        <w:rPr>
          <w:rFonts w:cs="Arial"/>
        </w:rPr>
        <w:t xml:space="preserve"> </w:t>
      </w:r>
    </w:p>
    <w:p w:rsidR="009E4D35" w:rsidRPr="0009387C" w:rsidRDefault="009E4D35" w:rsidP="0009387C">
      <w:pPr>
        <w:pStyle w:val="Body1"/>
        <w:rPr>
          <w:rFonts w:cs="Arial"/>
        </w:rPr>
      </w:pPr>
      <w:r w:rsidRPr="0009387C">
        <w:rPr>
          <w:rFonts w:cs="Arial"/>
        </w:rPr>
        <w:t xml:space="preserve">If the Extraordinary Resolution is passed then the Scheme will be binding on all Unitholders in </w:t>
      </w:r>
      <w:r w:rsidRPr="0009387C">
        <w:rPr>
          <w:rFonts w:cs="Arial"/>
          <w:szCs w:val="18"/>
        </w:rPr>
        <w:t>the Discontinuing Fund</w:t>
      </w:r>
      <w:r w:rsidRPr="0009387C">
        <w:rPr>
          <w:rFonts w:cs="Arial"/>
        </w:rPr>
        <w:t xml:space="preserve"> whether or not they voted in favour of it or voted at all. </w:t>
      </w:r>
    </w:p>
    <w:p w:rsidR="009E4D35" w:rsidRPr="0009387C" w:rsidRDefault="009E4D35" w:rsidP="00CE39B0">
      <w:pPr>
        <w:pStyle w:val="Body1"/>
        <w:rPr>
          <w:rFonts w:cs="Arial"/>
        </w:rPr>
      </w:pPr>
      <w:r w:rsidRPr="0009387C">
        <w:rPr>
          <w:rFonts w:cs="Arial"/>
        </w:rPr>
        <w:t xml:space="preserve">Provided that the Extraordinary Resolution of Unitholders in the Discontinuing Fund is passed, dealings in the Units of the Discontinuing Fund will cease </w:t>
      </w:r>
      <w:r w:rsidR="00CF4CE0">
        <w:rPr>
          <w:rFonts w:cs="Arial"/>
        </w:rPr>
        <w:t>on 14 January 2015 at 12.01pm</w:t>
      </w:r>
      <w:r w:rsidRPr="0009387C">
        <w:rPr>
          <w:rFonts w:cs="Arial"/>
        </w:rPr>
        <w:t xml:space="preserve">.  Normal dealings in the Shares of the Continuing Fund will </w:t>
      </w:r>
      <w:r w:rsidR="00075D95">
        <w:rPr>
          <w:rFonts w:cs="Arial"/>
        </w:rPr>
        <w:t>resume on 19 January 2015</w:t>
      </w:r>
      <w:r w:rsidRPr="0009387C">
        <w:rPr>
          <w:rFonts w:cs="Arial"/>
        </w:rPr>
        <w:t xml:space="preserve">. The Discontinuing Fund will then be </w:t>
      </w:r>
      <w:r w:rsidR="00CE39B0">
        <w:rPr>
          <w:rFonts w:cs="Arial"/>
        </w:rPr>
        <w:t>wound up.</w:t>
      </w:r>
    </w:p>
    <w:p w:rsidR="009E4D35" w:rsidRPr="0009387C" w:rsidRDefault="009E4D35" w:rsidP="00CE39B0">
      <w:pPr>
        <w:pStyle w:val="Body1"/>
        <w:rPr>
          <w:rFonts w:cs="Arial"/>
          <w:spacing w:val="-2"/>
          <w:szCs w:val="18"/>
        </w:rPr>
      </w:pPr>
      <w:r w:rsidRPr="0009387C">
        <w:rPr>
          <w:rFonts w:cs="Arial"/>
          <w:spacing w:val="-2"/>
          <w:szCs w:val="18"/>
        </w:rPr>
        <w:t xml:space="preserve">If the Extraordinary Resolution is not passed the Discontinuing Fund will continue to operate as it does currently, subject to its economic viability in the reasonable opinion of the Manager.  If the Discontinuing Fund is not considered viable then the Manager may take steps to </w:t>
      </w:r>
      <w:r w:rsidR="00CE39B0">
        <w:rPr>
          <w:rFonts w:cs="Arial"/>
          <w:spacing w:val="-2"/>
          <w:szCs w:val="18"/>
        </w:rPr>
        <w:t xml:space="preserve">wind </w:t>
      </w:r>
      <w:r w:rsidR="006619CA">
        <w:rPr>
          <w:rFonts w:cs="Arial"/>
          <w:spacing w:val="-2"/>
          <w:szCs w:val="18"/>
        </w:rPr>
        <w:t xml:space="preserve">it </w:t>
      </w:r>
      <w:r w:rsidR="00CE39B0">
        <w:rPr>
          <w:rFonts w:cs="Arial"/>
          <w:spacing w:val="-2"/>
          <w:szCs w:val="18"/>
        </w:rPr>
        <w:t>up.  The Manager will write to you again if it decides to wind up the Discontinuing Fund.</w:t>
      </w:r>
    </w:p>
    <w:p w:rsidR="009E4D35" w:rsidRPr="0009387C" w:rsidRDefault="009E4D35" w:rsidP="000D64DC">
      <w:pPr>
        <w:pStyle w:val="MacLevel1"/>
        <w:keepNext/>
        <w:numPr>
          <w:ilvl w:val="1"/>
          <w:numId w:val="22"/>
        </w:numPr>
        <w:rPr>
          <w:rStyle w:val="MacLevel1TOC"/>
        </w:rPr>
      </w:pPr>
      <w:bookmarkStart w:id="20" w:name="TOClink4"/>
      <w:r w:rsidRPr="0009387C">
        <w:rPr>
          <w:rStyle w:val="MacLevel1TOC"/>
        </w:rPr>
        <w:t>Basis of Transfer</w:t>
      </w:r>
    </w:p>
    <w:bookmarkEnd w:id="20"/>
    <w:p w:rsidR="009E4D35" w:rsidRPr="0009387C" w:rsidRDefault="009E4D35" w:rsidP="0009387C">
      <w:pPr>
        <w:pStyle w:val="Body1"/>
        <w:rPr>
          <w:rFonts w:cs="Arial"/>
        </w:rPr>
      </w:pPr>
      <w:r w:rsidRPr="0009387C">
        <w:rPr>
          <w:rFonts w:cs="Arial"/>
        </w:rPr>
        <w:t>Upon the Scheme becoming effective Unitholders of the Discontinuing Fund will be entitled to receive Shares in the Continuing Fund of a value equivalent to the aggregate value of their existing Units in the Discontinuing Fund.</w:t>
      </w:r>
    </w:p>
    <w:p w:rsidR="009E4D35" w:rsidRPr="0009387C" w:rsidRDefault="009E4D35" w:rsidP="006619CA">
      <w:pPr>
        <w:pStyle w:val="Body1"/>
        <w:rPr>
          <w:rFonts w:cs="Arial"/>
        </w:rPr>
      </w:pPr>
      <w:r w:rsidRPr="0009387C">
        <w:rPr>
          <w:rFonts w:cs="Arial"/>
        </w:rPr>
        <w:t>The valuation of the Discontinui</w:t>
      </w:r>
      <w:r w:rsidR="00BF3B45">
        <w:rPr>
          <w:rFonts w:cs="Arial"/>
        </w:rPr>
        <w:t xml:space="preserve">ng Fund </w:t>
      </w:r>
      <w:r w:rsidR="00075D95">
        <w:rPr>
          <w:rFonts w:cs="Arial"/>
        </w:rPr>
        <w:t xml:space="preserve">and the Continuing Fund </w:t>
      </w:r>
      <w:r w:rsidR="00BF3B45">
        <w:rPr>
          <w:rFonts w:cs="Arial"/>
        </w:rPr>
        <w:t>will take place at 12.0</w:t>
      </w:r>
      <w:r w:rsidR="00290C5C">
        <w:rPr>
          <w:rFonts w:cs="Arial"/>
        </w:rPr>
        <w:t>1</w:t>
      </w:r>
      <w:r w:rsidRPr="0009387C">
        <w:rPr>
          <w:rFonts w:cs="Arial"/>
        </w:rPr>
        <w:t xml:space="preserve"> </w:t>
      </w:r>
      <w:r w:rsidR="00BF3B45">
        <w:rPr>
          <w:rFonts w:cs="Arial"/>
        </w:rPr>
        <w:t>pm</w:t>
      </w:r>
      <w:r w:rsidRPr="0009387C">
        <w:rPr>
          <w:rFonts w:cs="Arial"/>
        </w:rPr>
        <w:t xml:space="preserve"> on </w:t>
      </w:r>
      <w:r w:rsidR="00CD681A">
        <w:rPr>
          <w:rFonts w:cs="Arial"/>
        </w:rPr>
        <w:t>15</w:t>
      </w:r>
      <w:r w:rsidR="008D692D">
        <w:rPr>
          <w:rFonts w:cs="Arial"/>
        </w:rPr>
        <w:t xml:space="preserve"> January</w:t>
      </w:r>
      <w:r w:rsidRPr="0009387C">
        <w:rPr>
          <w:rFonts w:cs="Arial"/>
        </w:rPr>
        <w:t xml:space="preserve"> 201</w:t>
      </w:r>
      <w:r w:rsidR="008D692D">
        <w:rPr>
          <w:rFonts w:cs="Arial"/>
        </w:rPr>
        <w:t>5</w:t>
      </w:r>
      <w:r w:rsidRPr="0009387C">
        <w:rPr>
          <w:rFonts w:cs="Arial"/>
        </w:rPr>
        <w:t xml:space="preserve">. This is to enable the Manager to value assets using the most recent price available for the underlying assets held within the Discontinuing Fund to ensure that the value of the </w:t>
      </w:r>
      <w:r w:rsidR="00CE39B0">
        <w:rPr>
          <w:rFonts w:cs="Arial"/>
        </w:rPr>
        <w:t>Units</w:t>
      </w:r>
      <w:r w:rsidR="00CE39B0" w:rsidRPr="0009387C">
        <w:rPr>
          <w:rFonts w:cs="Arial"/>
        </w:rPr>
        <w:t xml:space="preserve"> </w:t>
      </w:r>
      <w:r w:rsidRPr="0009387C">
        <w:rPr>
          <w:rFonts w:cs="Arial"/>
        </w:rPr>
        <w:t xml:space="preserve">in the Discontinuing Fund and the </w:t>
      </w:r>
      <w:r w:rsidR="00CE39B0">
        <w:rPr>
          <w:rFonts w:cs="Arial"/>
        </w:rPr>
        <w:t xml:space="preserve">Shares in the </w:t>
      </w:r>
      <w:r w:rsidRPr="0009387C">
        <w:rPr>
          <w:rFonts w:cs="Arial"/>
        </w:rPr>
        <w:t>Continuing Fund are accurate for the purpose of calculating the value of the Shares for the Scheme. For this purpose, investments will be valued at their mid-market values</w:t>
      </w:r>
      <w:r w:rsidR="00780C60">
        <w:rPr>
          <w:rFonts w:cs="Arial"/>
        </w:rPr>
        <w:t xml:space="preserve"> (excluding purchase or sale costs)</w:t>
      </w:r>
      <w:r w:rsidRPr="0009387C">
        <w:rPr>
          <w:rFonts w:cs="Arial"/>
        </w:rPr>
        <w:t xml:space="preserve">. </w:t>
      </w:r>
    </w:p>
    <w:p w:rsidR="0055101B" w:rsidRDefault="009E4D35" w:rsidP="0009387C">
      <w:pPr>
        <w:pStyle w:val="Body1"/>
        <w:rPr>
          <w:rFonts w:cs="Arial"/>
        </w:rPr>
      </w:pPr>
      <w:r w:rsidRPr="0009387C">
        <w:rPr>
          <w:rFonts w:cs="Arial"/>
        </w:rPr>
        <w:t xml:space="preserve">The number of Shares in the Continuing Fund to be issued to each Unitholder in the Discontinuing Fund will be rounded to </w:t>
      </w:r>
      <w:r w:rsidR="002F4BBA">
        <w:rPr>
          <w:rFonts w:cs="Arial"/>
        </w:rPr>
        <w:t>two</w:t>
      </w:r>
      <w:r w:rsidR="002F4BBA" w:rsidRPr="0009387C">
        <w:rPr>
          <w:rFonts w:cs="Arial"/>
        </w:rPr>
        <w:t xml:space="preserve"> </w:t>
      </w:r>
      <w:r w:rsidRPr="0009387C">
        <w:rPr>
          <w:rFonts w:cs="Arial"/>
        </w:rPr>
        <w:t>decimal places</w:t>
      </w:r>
      <w:r w:rsidR="00582560">
        <w:rPr>
          <w:rFonts w:cs="Arial"/>
        </w:rPr>
        <w:t>.</w:t>
      </w:r>
    </w:p>
    <w:p w:rsidR="009E4D35" w:rsidRPr="0009387C" w:rsidRDefault="009E4D35" w:rsidP="00582560">
      <w:pPr>
        <w:pStyle w:val="Body1"/>
        <w:ind w:left="900"/>
        <w:rPr>
          <w:rFonts w:cs="Arial"/>
        </w:rPr>
      </w:pPr>
      <w:r w:rsidRPr="0009387C">
        <w:rPr>
          <w:rFonts w:cs="Arial"/>
        </w:rPr>
        <w:t xml:space="preserve">Unitholders should note that the </w:t>
      </w:r>
      <w:r w:rsidRPr="0009387C">
        <w:rPr>
          <w:rFonts w:cs="Arial"/>
          <w:noProof/>
          <w:lang w:val="en-US"/>
        </w:rPr>
        <w:t xml:space="preserve">FCA </w:t>
      </w:r>
      <w:r w:rsidRPr="0009387C">
        <w:rPr>
          <w:rFonts w:cs="Arial"/>
        </w:rPr>
        <w:t>rules which in certain circumstances confer a right to cancel a contract to purchase shares, will not apply to the acquisition of the Shares of the Continuing Fund pursuant to the Scheme.</w:t>
      </w:r>
      <w:r w:rsidR="00886E58">
        <w:rPr>
          <w:rFonts w:cs="Arial"/>
        </w:rPr>
        <w:t xml:space="preserve">  </w:t>
      </w:r>
      <w:r w:rsidRPr="0009387C">
        <w:rPr>
          <w:rFonts w:cs="Arial"/>
        </w:rPr>
        <w:t xml:space="preserve">The ACD will not levy a preliminary charge in respect of Shares in the Continuing Fund issued under the Scheme. </w:t>
      </w:r>
    </w:p>
    <w:p w:rsidR="009E4D35" w:rsidRPr="0009387C" w:rsidRDefault="009E4D35" w:rsidP="0009387C">
      <w:pPr>
        <w:pStyle w:val="Body1"/>
        <w:rPr>
          <w:rFonts w:cs="Arial"/>
        </w:rPr>
      </w:pPr>
      <w:r w:rsidRPr="0009387C">
        <w:rPr>
          <w:rFonts w:cs="Arial"/>
        </w:rPr>
        <w:t>Unitholders of the Discontinuing Fund will be sent a written notification setting out their entitlement to Shares in the Continuing Fund</w:t>
      </w:r>
      <w:r w:rsidR="00FB6A38">
        <w:rPr>
          <w:rFonts w:cs="Arial"/>
        </w:rPr>
        <w:t xml:space="preserve"> within 14 days</w:t>
      </w:r>
      <w:r w:rsidR="00582560">
        <w:rPr>
          <w:rFonts w:cs="Arial"/>
        </w:rPr>
        <w:t xml:space="preserve"> of the Effective Date</w:t>
      </w:r>
      <w:r w:rsidRPr="0009387C">
        <w:rPr>
          <w:rFonts w:cs="Arial"/>
        </w:rPr>
        <w:t>.  Certificates will not be issued in respect of Shares.  Unitholders will be able to purchase and redeem Shares in the Continuing Fund after the Effective Date by contacting the ACD</w:t>
      </w:r>
      <w:r w:rsidR="00582560">
        <w:rPr>
          <w:rFonts w:cs="Arial"/>
        </w:rPr>
        <w:t xml:space="preserve"> </w:t>
      </w:r>
      <w:r w:rsidR="00075D95">
        <w:rPr>
          <w:rFonts w:cs="Arial"/>
        </w:rPr>
        <w:t xml:space="preserve">on </w:t>
      </w:r>
      <w:r w:rsidR="0055101B">
        <w:rPr>
          <w:rFonts w:cs="Arial"/>
        </w:rPr>
        <w:t>0845</w:t>
      </w:r>
      <w:r w:rsidR="00075D95">
        <w:rPr>
          <w:rFonts w:cs="Arial"/>
        </w:rPr>
        <w:t xml:space="preserve"> </w:t>
      </w:r>
      <w:r w:rsidR="0055101B">
        <w:rPr>
          <w:rFonts w:cs="Arial"/>
        </w:rPr>
        <w:t>608</w:t>
      </w:r>
      <w:r w:rsidR="00886E58">
        <w:rPr>
          <w:rFonts w:cs="Arial"/>
        </w:rPr>
        <w:t xml:space="preserve"> </w:t>
      </w:r>
      <w:r w:rsidR="0055101B">
        <w:rPr>
          <w:rFonts w:cs="Arial"/>
        </w:rPr>
        <w:t>8703</w:t>
      </w:r>
      <w:r w:rsidR="00582560">
        <w:rPr>
          <w:rFonts w:cs="Arial"/>
        </w:rPr>
        <w:t>.</w:t>
      </w:r>
    </w:p>
    <w:p w:rsidR="009E4D35" w:rsidRPr="0009387C" w:rsidRDefault="009E4D35" w:rsidP="00C5034A">
      <w:pPr>
        <w:pStyle w:val="Body1"/>
        <w:rPr>
          <w:rFonts w:cs="Arial"/>
          <w:b/>
          <w:i/>
        </w:rPr>
      </w:pPr>
      <w:r w:rsidRPr="0009387C">
        <w:rPr>
          <w:rFonts w:cs="Arial"/>
        </w:rPr>
        <w:t>Issue</w:t>
      </w:r>
      <w:r w:rsidR="006619CA">
        <w:rPr>
          <w:rFonts w:cs="Arial"/>
        </w:rPr>
        <w:t>s</w:t>
      </w:r>
      <w:r w:rsidRPr="0009387C">
        <w:rPr>
          <w:rFonts w:cs="Arial"/>
        </w:rPr>
        <w:t xml:space="preserve"> and redemption</w:t>
      </w:r>
      <w:r w:rsidR="006619CA">
        <w:rPr>
          <w:rFonts w:cs="Arial"/>
        </w:rPr>
        <w:t>s</w:t>
      </w:r>
      <w:r w:rsidRPr="0009387C">
        <w:rPr>
          <w:rFonts w:cs="Arial"/>
        </w:rPr>
        <w:t xml:space="preserve"> of Units in the Discontinuing Fund may take place up to </w:t>
      </w:r>
      <w:r w:rsidR="003F1DE3">
        <w:rPr>
          <w:rFonts w:cs="Arial"/>
        </w:rPr>
        <w:t>1</w:t>
      </w:r>
      <w:r w:rsidR="00290C5C">
        <w:rPr>
          <w:rFonts w:cs="Arial"/>
        </w:rPr>
        <w:t>4</w:t>
      </w:r>
      <w:r w:rsidR="008D692D">
        <w:rPr>
          <w:rFonts w:cs="Arial"/>
        </w:rPr>
        <w:t xml:space="preserve"> January 2015</w:t>
      </w:r>
      <w:r w:rsidRPr="0009387C">
        <w:rPr>
          <w:rFonts w:cs="Arial"/>
        </w:rPr>
        <w:t xml:space="preserve"> but will cease </w:t>
      </w:r>
      <w:r w:rsidR="006619CA">
        <w:rPr>
          <w:rFonts w:cs="Arial"/>
        </w:rPr>
        <w:t xml:space="preserve">immediately after </w:t>
      </w:r>
      <w:r w:rsidRPr="0009387C">
        <w:rPr>
          <w:rFonts w:cs="Arial"/>
        </w:rPr>
        <w:t>12 noon on that date. You may also switch out of the Discontinuing Fund into a fund of your choice within any Old Mutual umbrella without imposition of a switch charge any time up until this date</w:t>
      </w:r>
      <w:r w:rsidR="00436E9E">
        <w:rPr>
          <w:rFonts w:cs="Arial"/>
        </w:rPr>
        <w:t xml:space="preserve">.  </w:t>
      </w:r>
      <w:r w:rsidR="00436E9E" w:rsidRPr="00436E9E">
        <w:rPr>
          <w:rFonts w:cs="Arial"/>
        </w:rPr>
        <w:t xml:space="preserve">Please note that a switch may be treated as a redemption and sale and may, for persons subject to United Kingdom taxation, </w:t>
      </w:r>
      <w:r w:rsidR="00436E9E" w:rsidRPr="00436E9E">
        <w:rPr>
          <w:rFonts w:cs="Arial"/>
        </w:rPr>
        <w:lastRenderedPageBreak/>
        <w:t>be a realisation for the purposes of capital gains taxation.</w:t>
      </w:r>
      <w:r w:rsidR="005D562C">
        <w:rPr>
          <w:rFonts w:cs="Arial"/>
        </w:rPr>
        <w:t xml:space="preserve"> </w:t>
      </w:r>
      <w:r w:rsidR="005D562C" w:rsidRPr="005D562C">
        <w:rPr>
          <w:rFonts w:cs="Arial"/>
        </w:rPr>
        <w:t xml:space="preserve">You can also switch out of the Continuing Fund into a fund of your choice within </w:t>
      </w:r>
      <w:r w:rsidR="00075D95">
        <w:rPr>
          <w:rFonts w:cs="Arial"/>
        </w:rPr>
        <w:t>the</w:t>
      </w:r>
      <w:r w:rsidR="005D562C" w:rsidRPr="005D562C">
        <w:rPr>
          <w:rFonts w:cs="Arial"/>
        </w:rPr>
        <w:t xml:space="preserve"> Henderson </w:t>
      </w:r>
      <w:r w:rsidR="00075D95">
        <w:rPr>
          <w:rFonts w:cs="Arial"/>
        </w:rPr>
        <w:t>fund range</w:t>
      </w:r>
      <w:r w:rsidR="005D562C" w:rsidRPr="005D562C">
        <w:rPr>
          <w:rFonts w:cs="Arial"/>
        </w:rPr>
        <w:t xml:space="preserve"> without imposition of a switch charge</w:t>
      </w:r>
      <w:r w:rsidR="00436E9E">
        <w:rPr>
          <w:rFonts w:cs="Arial"/>
        </w:rPr>
        <w:t>, or redeem your Shares,</w:t>
      </w:r>
      <w:r w:rsidR="005D562C" w:rsidRPr="005D562C">
        <w:rPr>
          <w:rFonts w:cs="Arial"/>
        </w:rPr>
        <w:t xml:space="preserve"> any time after the Effective Date.</w:t>
      </w:r>
    </w:p>
    <w:p w:rsidR="009E4D35" w:rsidRPr="0009387C" w:rsidRDefault="009E4D35" w:rsidP="000D64DC">
      <w:pPr>
        <w:pStyle w:val="MacLevel1"/>
        <w:keepNext/>
        <w:numPr>
          <w:ilvl w:val="1"/>
          <w:numId w:val="22"/>
        </w:numPr>
        <w:rPr>
          <w:rStyle w:val="MacLevel1TOC"/>
        </w:rPr>
      </w:pPr>
      <w:r w:rsidRPr="0009387C">
        <w:rPr>
          <w:rStyle w:val="MacLevel1TOC"/>
        </w:rPr>
        <w:t>Equalisation</w:t>
      </w:r>
    </w:p>
    <w:p w:rsidR="009E4D35" w:rsidRPr="0009387C" w:rsidRDefault="009E4D35" w:rsidP="00526AF0">
      <w:pPr>
        <w:pStyle w:val="Body1"/>
        <w:rPr>
          <w:rFonts w:cs="Arial"/>
        </w:rPr>
      </w:pPr>
      <w:r w:rsidRPr="0009387C">
        <w:rPr>
          <w:rFonts w:cs="Arial"/>
        </w:rPr>
        <w:t xml:space="preserve">Please note that part of the purchase price of a Share in the Continuing Fund reflects the relevant share of accrued income received or to be received by the Continuing Fund.  This capital sum is returned to a </w:t>
      </w:r>
      <w:r w:rsidR="00D14ED3">
        <w:rPr>
          <w:rFonts w:cs="Arial"/>
        </w:rPr>
        <w:t>s</w:t>
      </w:r>
      <w:r w:rsidRPr="0009387C">
        <w:rPr>
          <w:rFonts w:cs="Arial"/>
        </w:rPr>
        <w:t xml:space="preserve">hareholder with the first allocation of income in respect of a </w:t>
      </w:r>
      <w:r w:rsidR="00526AF0">
        <w:rPr>
          <w:rFonts w:cs="Arial"/>
        </w:rPr>
        <w:t>Share</w:t>
      </w:r>
      <w:r w:rsidR="00526AF0" w:rsidRPr="0009387C">
        <w:rPr>
          <w:rFonts w:cs="Arial"/>
        </w:rPr>
        <w:t xml:space="preserve"> </w:t>
      </w:r>
      <w:r w:rsidRPr="0009387C">
        <w:rPr>
          <w:rFonts w:cs="Arial"/>
        </w:rPr>
        <w:t>issued during an accounting period. The amount of income equalisation is calculated by dividing the aggregate of the amounts of income included in the price of Shares issued or sold to shareholders in an annual or interim accounting period by the number of those shares and applying the resultant average to each of the Shares in question.</w:t>
      </w:r>
      <w:r w:rsidR="00526AF0">
        <w:rPr>
          <w:rFonts w:cs="Arial"/>
        </w:rPr>
        <w:t xml:space="preserve">  Equalisation is also currently applied in the Discontinuing Fund.</w:t>
      </w:r>
    </w:p>
    <w:p w:rsidR="009E4D35" w:rsidRPr="0009387C" w:rsidRDefault="009E4D35" w:rsidP="0009387C">
      <w:pPr>
        <w:pStyle w:val="Body1"/>
        <w:rPr>
          <w:rFonts w:cs="Arial"/>
          <w:lang w:eastAsia="en-GB"/>
        </w:rPr>
      </w:pPr>
      <w:r w:rsidRPr="0009387C">
        <w:rPr>
          <w:rFonts w:cs="Arial"/>
          <w:lang w:eastAsia="en-GB"/>
        </w:rPr>
        <w:t>The equalisation applicable to your individual holding of Units in the Discontinuing Fund at the Effective Date of the Scheme, will be detailed on your distribution notice.  This notice will be in the same format as distribution notices that you will have received from the Manager previously and should be taken into account when calculating your tax return for the current tax year.</w:t>
      </w:r>
    </w:p>
    <w:p w:rsidR="009E4D35" w:rsidRPr="0009387C" w:rsidRDefault="009E4D35" w:rsidP="0009387C">
      <w:pPr>
        <w:pStyle w:val="Body1"/>
        <w:rPr>
          <w:rFonts w:cs="Arial"/>
          <w:b/>
          <w:i/>
        </w:rPr>
      </w:pPr>
      <w:r w:rsidRPr="0009387C">
        <w:rPr>
          <w:rFonts w:cs="Arial"/>
          <w:lang w:eastAsia="en-GB"/>
        </w:rPr>
        <w:t xml:space="preserve">On the Effective Date of the Scheme, you will receive Shares in the Continuing Fund. You will receive a distribution notice for your holding in the Continuing Fund on or around </w:t>
      </w:r>
      <w:r w:rsidR="006F7AE6">
        <w:rPr>
          <w:rFonts w:cs="Arial"/>
          <w:lang w:eastAsia="en-GB"/>
        </w:rPr>
        <w:t>30 April</w:t>
      </w:r>
      <w:r w:rsidRPr="0009387C">
        <w:rPr>
          <w:rFonts w:cs="Arial"/>
          <w:lang w:eastAsia="en-GB"/>
        </w:rPr>
        <w:t xml:space="preserve"> 201</w:t>
      </w:r>
      <w:r w:rsidR="00D53074">
        <w:rPr>
          <w:rFonts w:cs="Arial"/>
          <w:lang w:eastAsia="en-GB"/>
        </w:rPr>
        <w:t>5</w:t>
      </w:r>
      <w:r w:rsidR="006F7AE6">
        <w:rPr>
          <w:rFonts w:cs="Arial"/>
          <w:lang w:eastAsia="en-GB"/>
        </w:rPr>
        <w:t xml:space="preserve"> for the period ending 28 February</w:t>
      </w:r>
      <w:r w:rsidRPr="0009387C">
        <w:rPr>
          <w:rFonts w:cs="Arial"/>
          <w:lang w:eastAsia="en-GB"/>
        </w:rPr>
        <w:t xml:space="preserve"> 201</w:t>
      </w:r>
      <w:r w:rsidR="006F7AE6">
        <w:rPr>
          <w:rFonts w:cs="Arial"/>
          <w:lang w:eastAsia="en-GB"/>
        </w:rPr>
        <w:t>5</w:t>
      </w:r>
      <w:r w:rsidRPr="0009387C">
        <w:rPr>
          <w:rFonts w:cs="Arial"/>
          <w:lang w:eastAsia="en-GB"/>
        </w:rPr>
        <w:t>.</w:t>
      </w:r>
    </w:p>
    <w:p w:rsidR="00016919" w:rsidRPr="0009387C" w:rsidRDefault="00016919" w:rsidP="000D64DC">
      <w:pPr>
        <w:pStyle w:val="MacLevel1"/>
        <w:keepNext/>
        <w:numPr>
          <w:ilvl w:val="1"/>
          <w:numId w:val="22"/>
        </w:numPr>
        <w:rPr>
          <w:rStyle w:val="MacLevel1TOC"/>
        </w:rPr>
      </w:pPr>
      <w:r w:rsidRPr="0009387C">
        <w:rPr>
          <w:rStyle w:val="MacLevel1TOC"/>
        </w:rPr>
        <w:t>Taxation</w:t>
      </w:r>
    </w:p>
    <w:p w:rsidR="00CA6D1B" w:rsidRDefault="00CA6D1B" w:rsidP="00CA6D1B">
      <w:pPr>
        <w:spacing w:after="0"/>
        <w:ind w:left="900"/>
      </w:pPr>
      <w:bookmarkStart w:id="21" w:name="TOClink6"/>
      <w:bookmarkEnd w:id="16"/>
      <w:r>
        <w:t>The Manager’s understanding of certain aspects of the UK tax position relating to the Scheme is as follows:</w:t>
      </w:r>
    </w:p>
    <w:p w:rsidR="00CA6D1B" w:rsidRDefault="00CA6D1B" w:rsidP="00CA6D1B">
      <w:pPr>
        <w:spacing w:after="0"/>
        <w:ind w:left="900"/>
      </w:pPr>
    </w:p>
    <w:p w:rsidR="00CA6D1B" w:rsidRPr="00410CDF" w:rsidRDefault="00CA6D1B" w:rsidP="00CA6D1B">
      <w:pPr>
        <w:spacing w:after="0"/>
        <w:ind w:left="900"/>
        <w:rPr>
          <w:i/>
        </w:rPr>
      </w:pPr>
      <w:r w:rsidRPr="00410CDF">
        <w:rPr>
          <w:bCs/>
          <w:i/>
        </w:rPr>
        <w:t xml:space="preserve">The Discontinuing </w:t>
      </w:r>
      <w:r>
        <w:rPr>
          <w:bCs/>
          <w:i/>
        </w:rPr>
        <w:t>F</w:t>
      </w:r>
      <w:r w:rsidRPr="00410CDF">
        <w:rPr>
          <w:bCs/>
          <w:i/>
        </w:rPr>
        <w:t>und</w:t>
      </w:r>
    </w:p>
    <w:p w:rsidR="00CA6D1B" w:rsidRDefault="00CA6D1B" w:rsidP="00CA6D1B">
      <w:pPr>
        <w:spacing w:after="0"/>
        <w:ind w:left="900"/>
      </w:pPr>
    </w:p>
    <w:p w:rsidR="00CA6D1B" w:rsidRDefault="00CA6D1B" w:rsidP="00CA6D1B">
      <w:pPr>
        <w:spacing w:after="0"/>
        <w:ind w:left="900"/>
      </w:pPr>
      <w:r>
        <w:t>Gains arising on the transfer of the</w:t>
      </w:r>
      <w:r w:rsidRPr="00711E2F">
        <w:t xml:space="preserve"> </w:t>
      </w:r>
      <w:r w:rsidRPr="00711E2F">
        <w:rPr>
          <w:bCs/>
        </w:rPr>
        <w:t xml:space="preserve">Discontinuing </w:t>
      </w:r>
      <w:r>
        <w:rPr>
          <w:bCs/>
        </w:rPr>
        <w:t>Fund</w:t>
      </w:r>
      <w:r>
        <w:t xml:space="preserve">’s assets to the </w:t>
      </w:r>
      <w:r>
        <w:rPr>
          <w:spacing w:val="-2"/>
        </w:rPr>
        <w:t xml:space="preserve">Continuing Fund </w:t>
      </w:r>
      <w:r>
        <w:t xml:space="preserve">will not be treated as chargeable gains for the purposes of corporation tax on chargeable gains as, pursuant to Section 100 of the Taxation of Chargeable Gains Act 1992, gains accruing to such </w:t>
      </w:r>
      <w:r w:rsidR="00B30650">
        <w:t>authorised unit trusts</w:t>
      </w:r>
      <w:r>
        <w:t xml:space="preserve"> are not chargeable gains.</w:t>
      </w:r>
    </w:p>
    <w:p w:rsidR="00CA6D1B" w:rsidRDefault="00CA6D1B" w:rsidP="00CA6D1B">
      <w:pPr>
        <w:spacing w:after="0"/>
        <w:ind w:left="900"/>
      </w:pPr>
    </w:p>
    <w:p w:rsidR="00CA6D1B" w:rsidRPr="00410CDF" w:rsidRDefault="00CA6D1B" w:rsidP="00CA6D1B">
      <w:pPr>
        <w:spacing w:after="0"/>
        <w:ind w:left="900"/>
        <w:rPr>
          <w:i/>
        </w:rPr>
      </w:pPr>
      <w:r>
        <w:rPr>
          <w:bCs/>
          <w:i/>
        </w:rPr>
        <w:t>Unit</w:t>
      </w:r>
      <w:r w:rsidRPr="00410CDF">
        <w:rPr>
          <w:bCs/>
          <w:i/>
        </w:rPr>
        <w:t>holders</w:t>
      </w:r>
    </w:p>
    <w:p w:rsidR="00CA6D1B" w:rsidRDefault="00CA6D1B" w:rsidP="00CA6D1B">
      <w:pPr>
        <w:spacing w:after="0"/>
        <w:ind w:left="900"/>
      </w:pPr>
    </w:p>
    <w:p w:rsidR="00CA6D1B" w:rsidRPr="00382017" w:rsidRDefault="00CA6D1B" w:rsidP="00CA6D1B">
      <w:pPr>
        <w:spacing w:after="0"/>
        <w:ind w:left="900"/>
        <w:rPr>
          <w:lang w:eastAsia="en-GB"/>
        </w:rPr>
      </w:pPr>
      <w:r>
        <w:t xml:space="preserve">Clearance has been sought from </w:t>
      </w:r>
      <w:r w:rsidR="00436E9E">
        <w:t>HMRC</w:t>
      </w:r>
      <w:r>
        <w:t xml:space="preserve"> under Section 138 of the Taxation of Chargeable Gains Act 1992 </w:t>
      </w:r>
      <w:r w:rsidRPr="00382017">
        <w:rPr>
          <w:lang w:eastAsia="en-GB"/>
        </w:rPr>
        <w:t>that it is satisfied that the provisions of Section 1</w:t>
      </w:r>
      <w:r>
        <w:rPr>
          <w:lang w:eastAsia="en-GB"/>
        </w:rPr>
        <w:t>03K(</w:t>
      </w:r>
      <w:r w:rsidRPr="00382017">
        <w:rPr>
          <w:lang w:eastAsia="en-GB"/>
        </w:rPr>
        <w:t>1) of</w:t>
      </w:r>
      <w:r>
        <w:rPr>
          <w:lang w:eastAsia="en-GB"/>
        </w:rPr>
        <w:t xml:space="preserve"> that Act</w:t>
      </w:r>
      <w:r w:rsidRPr="00382017">
        <w:rPr>
          <w:lang w:eastAsia="en-GB"/>
        </w:rPr>
        <w:t xml:space="preserve"> (which apply to any person who together with connected persons holds more than 5% of the </w:t>
      </w:r>
      <w:r>
        <w:rPr>
          <w:lang w:eastAsia="en-GB"/>
        </w:rPr>
        <w:t>Units</w:t>
      </w:r>
      <w:r w:rsidRPr="00382017">
        <w:rPr>
          <w:lang w:eastAsia="en-GB"/>
        </w:rPr>
        <w:t xml:space="preserve"> in the Discontinuing </w:t>
      </w:r>
      <w:r>
        <w:rPr>
          <w:lang w:eastAsia="en-GB"/>
        </w:rPr>
        <w:t>Fund</w:t>
      </w:r>
      <w:r w:rsidRPr="00382017">
        <w:rPr>
          <w:lang w:eastAsia="en-GB"/>
        </w:rPr>
        <w:t xml:space="preserve">) should not have effect in respect of the </w:t>
      </w:r>
      <w:r>
        <w:rPr>
          <w:lang w:eastAsia="en-GB"/>
        </w:rPr>
        <w:t>Scheme</w:t>
      </w:r>
      <w:r w:rsidRPr="00382017">
        <w:rPr>
          <w:lang w:eastAsia="en-GB"/>
        </w:rPr>
        <w:t>,</w:t>
      </w:r>
      <w:r>
        <w:rPr>
          <w:lang w:eastAsia="en-GB"/>
        </w:rPr>
        <w:t xml:space="preserve"> with the result that Section 103H</w:t>
      </w:r>
      <w:r w:rsidRPr="00382017">
        <w:rPr>
          <w:lang w:eastAsia="en-GB"/>
        </w:rPr>
        <w:t xml:space="preserve"> of th</w:t>
      </w:r>
      <w:r>
        <w:rPr>
          <w:lang w:eastAsia="en-GB"/>
        </w:rPr>
        <w:t>at Act</w:t>
      </w:r>
      <w:r w:rsidRPr="00382017">
        <w:rPr>
          <w:lang w:eastAsia="en-GB"/>
        </w:rPr>
        <w:t xml:space="preserve"> would not be prevented from applying.  Consequently, the proposed amalgamation of the Discontinuing </w:t>
      </w:r>
      <w:r>
        <w:rPr>
          <w:lang w:eastAsia="en-GB"/>
        </w:rPr>
        <w:t>Fund and the</w:t>
      </w:r>
      <w:r w:rsidRPr="00382017">
        <w:rPr>
          <w:lang w:eastAsia="en-GB"/>
        </w:rPr>
        <w:t xml:space="preserve"> </w:t>
      </w:r>
      <w:r>
        <w:rPr>
          <w:spacing w:val="-2"/>
        </w:rPr>
        <w:t xml:space="preserve">Continuing Fund </w:t>
      </w:r>
      <w:r>
        <w:rPr>
          <w:lang w:eastAsia="en-GB"/>
        </w:rPr>
        <w:t xml:space="preserve">(involving </w:t>
      </w:r>
      <w:r w:rsidRPr="00382017">
        <w:rPr>
          <w:lang w:eastAsia="en-GB"/>
        </w:rPr>
        <w:t xml:space="preserve">the cancellation of </w:t>
      </w:r>
      <w:r>
        <w:rPr>
          <w:lang w:eastAsia="en-GB"/>
        </w:rPr>
        <w:t>Units</w:t>
      </w:r>
      <w:r w:rsidRPr="00382017">
        <w:rPr>
          <w:lang w:eastAsia="en-GB"/>
        </w:rPr>
        <w:t xml:space="preserve"> in the Discontinuing </w:t>
      </w:r>
      <w:r>
        <w:rPr>
          <w:lang w:eastAsia="en-GB"/>
        </w:rPr>
        <w:t>Fund</w:t>
      </w:r>
      <w:r w:rsidRPr="00382017">
        <w:rPr>
          <w:lang w:eastAsia="en-GB"/>
        </w:rPr>
        <w:t xml:space="preserve"> and the issue of </w:t>
      </w:r>
      <w:r>
        <w:rPr>
          <w:lang w:eastAsia="en-GB"/>
        </w:rPr>
        <w:t>Shares</w:t>
      </w:r>
      <w:r w:rsidRPr="00382017">
        <w:rPr>
          <w:lang w:eastAsia="en-GB"/>
        </w:rPr>
        <w:t xml:space="preserve"> in the </w:t>
      </w:r>
      <w:r>
        <w:rPr>
          <w:spacing w:val="-2"/>
        </w:rPr>
        <w:t>Continuing Fund</w:t>
      </w:r>
      <w:r w:rsidRPr="00382017">
        <w:rPr>
          <w:lang w:eastAsia="en-GB"/>
        </w:rPr>
        <w:t xml:space="preserve">) </w:t>
      </w:r>
      <w:r>
        <w:rPr>
          <w:lang w:eastAsia="en-GB"/>
        </w:rPr>
        <w:t>should</w:t>
      </w:r>
      <w:r w:rsidRPr="00382017">
        <w:rPr>
          <w:lang w:eastAsia="en-GB"/>
        </w:rPr>
        <w:t xml:space="preserve"> not constitute a disposal of </w:t>
      </w:r>
      <w:r>
        <w:rPr>
          <w:lang w:eastAsia="en-GB"/>
        </w:rPr>
        <w:t>Units</w:t>
      </w:r>
      <w:r w:rsidRPr="00382017">
        <w:rPr>
          <w:lang w:eastAsia="en-GB"/>
        </w:rPr>
        <w:t xml:space="preserve"> in the Discontinuing </w:t>
      </w:r>
      <w:r>
        <w:rPr>
          <w:lang w:eastAsia="en-GB"/>
        </w:rPr>
        <w:t>Fund</w:t>
      </w:r>
      <w:r w:rsidRPr="00382017">
        <w:rPr>
          <w:lang w:eastAsia="en-GB"/>
        </w:rPr>
        <w:t xml:space="preserve"> by holders of those </w:t>
      </w:r>
      <w:r>
        <w:rPr>
          <w:lang w:eastAsia="en-GB"/>
        </w:rPr>
        <w:t>Units</w:t>
      </w:r>
      <w:r w:rsidRPr="00382017">
        <w:rPr>
          <w:lang w:eastAsia="en-GB"/>
        </w:rPr>
        <w:t xml:space="preserve"> so as to give rise to any liability to UK tax on capital gains.  The acquisition cost for the purposes of UK tax on capital gains of </w:t>
      </w:r>
      <w:r>
        <w:rPr>
          <w:lang w:eastAsia="en-GB"/>
        </w:rPr>
        <w:t>Shares</w:t>
      </w:r>
      <w:r w:rsidRPr="00382017">
        <w:rPr>
          <w:lang w:eastAsia="en-GB"/>
        </w:rPr>
        <w:t xml:space="preserve"> in the </w:t>
      </w:r>
      <w:r>
        <w:rPr>
          <w:spacing w:val="-2"/>
        </w:rPr>
        <w:t xml:space="preserve">Continuing Fund </w:t>
      </w:r>
      <w:r w:rsidRPr="00382017">
        <w:rPr>
          <w:lang w:eastAsia="en-GB"/>
        </w:rPr>
        <w:t xml:space="preserve">issued under the Scheme </w:t>
      </w:r>
      <w:r>
        <w:rPr>
          <w:lang w:eastAsia="en-GB"/>
        </w:rPr>
        <w:t>should generally</w:t>
      </w:r>
      <w:r w:rsidRPr="00382017">
        <w:rPr>
          <w:lang w:eastAsia="en-GB"/>
        </w:rPr>
        <w:t xml:space="preserve"> be calculated by reference to the base cost of the </w:t>
      </w:r>
      <w:r>
        <w:rPr>
          <w:lang w:eastAsia="en-GB"/>
        </w:rPr>
        <w:t>Units</w:t>
      </w:r>
      <w:r w:rsidRPr="00382017">
        <w:rPr>
          <w:lang w:eastAsia="en-GB"/>
        </w:rPr>
        <w:t xml:space="preserve"> in the Discontinuing </w:t>
      </w:r>
      <w:r>
        <w:rPr>
          <w:lang w:eastAsia="en-GB"/>
        </w:rPr>
        <w:t>Fund</w:t>
      </w:r>
      <w:r w:rsidRPr="00382017">
        <w:rPr>
          <w:lang w:eastAsia="en-GB"/>
        </w:rPr>
        <w:t>, which they replace.</w:t>
      </w:r>
    </w:p>
    <w:p w:rsidR="00CA6D1B" w:rsidRPr="00382017" w:rsidRDefault="00CA6D1B" w:rsidP="00CA6D1B">
      <w:pPr>
        <w:spacing w:after="0"/>
        <w:ind w:left="900"/>
        <w:rPr>
          <w:lang w:eastAsia="en-GB"/>
        </w:rPr>
      </w:pPr>
    </w:p>
    <w:p w:rsidR="00CA6D1B" w:rsidRPr="00382017" w:rsidRDefault="00CA6D1B" w:rsidP="00526AF0">
      <w:pPr>
        <w:spacing w:after="0"/>
        <w:ind w:left="900"/>
        <w:rPr>
          <w:lang w:eastAsia="en-GB"/>
        </w:rPr>
      </w:pPr>
      <w:r>
        <w:rPr>
          <w:lang w:eastAsia="en-GB"/>
        </w:rPr>
        <w:t>Clearance has also been sought</w:t>
      </w:r>
      <w:r w:rsidRPr="00382017">
        <w:rPr>
          <w:lang w:eastAsia="en-GB"/>
        </w:rPr>
        <w:t xml:space="preserve"> from HMRC under</w:t>
      </w:r>
      <w:r>
        <w:t xml:space="preserve"> </w:t>
      </w:r>
      <w:r w:rsidR="00526AF0">
        <w:rPr>
          <w:spacing w:val="-2"/>
        </w:rPr>
        <w:t xml:space="preserve">Sections </w:t>
      </w:r>
      <w:r>
        <w:rPr>
          <w:spacing w:val="-2"/>
        </w:rPr>
        <w:t xml:space="preserve">682 to 713 of the Income Tax Act 2007 and section 748 of the Corporation Tax Act 2010 </w:t>
      </w:r>
      <w:r w:rsidRPr="00382017">
        <w:rPr>
          <w:lang w:eastAsia="en-GB"/>
        </w:rPr>
        <w:t xml:space="preserve">to the effect that no notice under </w:t>
      </w:r>
      <w:r w:rsidRPr="000C16E2">
        <w:rPr>
          <w:lang w:eastAsia="en-GB"/>
        </w:rPr>
        <w:t xml:space="preserve">section 698 of the Income Tax Act 2007 (counteraction notices) or </w:t>
      </w:r>
      <w:r w:rsidR="00526AF0">
        <w:rPr>
          <w:lang w:eastAsia="en-GB"/>
        </w:rPr>
        <w:t>S</w:t>
      </w:r>
      <w:r w:rsidR="00526AF0" w:rsidRPr="000C16E2">
        <w:rPr>
          <w:lang w:eastAsia="en-GB"/>
        </w:rPr>
        <w:t xml:space="preserve">ection </w:t>
      </w:r>
      <w:r w:rsidRPr="000C16E2">
        <w:rPr>
          <w:lang w:eastAsia="en-GB"/>
        </w:rPr>
        <w:t>746 of the Corporation Taxes Act 2010 (cancellation of corporation tax advantage)</w:t>
      </w:r>
      <w:r w:rsidRPr="00382017">
        <w:rPr>
          <w:lang w:eastAsia="en-GB"/>
        </w:rPr>
        <w:t xml:space="preserve"> which provides for the cancellation of tax advantages from certain transactions in securities ought to be given in respect of the Scheme.</w:t>
      </w:r>
    </w:p>
    <w:p w:rsidR="00CA6D1B" w:rsidRDefault="00CA6D1B" w:rsidP="00CA6D1B">
      <w:pPr>
        <w:spacing w:after="0"/>
        <w:ind w:left="900"/>
      </w:pPr>
    </w:p>
    <w:p w:rsidR="00CA6D1B" w:rsidRDefault="00CA6D1B" w:rsidP="00CA6D1B">
      <w:pPr>
        <w:spacing w:after="0"/>
        <w:ind w:left="900"/>
      </w:pPr>
      <w:r>
        <w:rPr>
          <w:spacing w:val="-2"/>
        </w:rPr>
        <w:lastRenderedPageBreak/>
        <w:t xml:space="preserve">Special rules apply to corporate </w:t>
      </w:r>
      <w:r w:rsidR="0041563E">
        <w:rPr>
          <w:spacing w:val="-2"/>
        </w:rPr>
        <w:t>Unit</w:t>
      </w:r>
      <w:r>
        <w:rPr>
          <w:spacing w:val="-2"/>
        </w:rPr>
        <w:t xml:space="preserve">holders within the charge to corporation tax which may result in their </w:t>
      </w:r>
      <w:r w:rsidR="0041563E">
        <w:rPr>
          <w:spacing w:val="-2"/>
        </w:rPr>
        <w:t>Units</w:t>
      </w:r>
      <w:r>
        <w:rPr>
          <w:spacing w:val="-2"/>
        </w:rPr>
        <w:t xml:space="preserve"> being treated for the purposes of the UK’s corporate debt rules as rights under a creditor relationship of the corporate </w:t>
      </w:r>
      <w:r w:rsidR="0041563E">
        <w:rPr>
          <w:spacing w:val="-2"/>
        </w:rPr>
        <w:t>Unit</w:t>
      </w:r>
      <w:r>
        <w:rPr>
          <w:spacing w:val="-2"/>
        </w:rPr>
        <w:t>holder.  A fair value basis of accounting would have to be used, for corporation tax purposes, as respects the deemed creditor relationship.</w:t>
      </w:r>
    </w:p>
    <w:p w:rsidR="00CA6D1B" w:rsidRDefault="00CA6D1B" w:rsidP="00CA6D1B">
      <w:pPr>
        <w:spacing w:after="0"/>
        <w:ind w:left="900"/>
      </w:pPr>
    </w:p>
    <w:p w:rsidR="00016919" w:rsidRPr="00D53074" w:rsidRDefault="00CA6D1B" w:rsidP="00CA6D1B">
      <w:pPr>
        <w:pStyle w:val="MacLevel1"/>
        <w:keepNext/>
        <w:numPr>
          <w:ilvl w:val="0"/>
          <w:numId w:val="0"/>
        </w:numPr>
        <w:ind w:left="864"/>
        <w:rPr>
          <w:rStyle w:val="MacLevel1TOC"/>
          <w:color w:val="FF0000"/>
        </w:rPr>
      </w:pPr>
      <w:r>
        <w:rPr>
          <w:b/>
          <w:bCs/>
        </w:rPr>
        <w:t>The above summary is only intended as a general guide to some of the main aspects of current UK tax law and practice applicable to the Scheme and may not apply to certain categories of investor.  It is not intended to provide specific advice and no action should be taken or omitted to be taken in reliance upon it. If you are in any doubt about your personal UK tax position</w:t>
      </w:r>
      <w:r>
        <w:rPr>
          <w:b/>
          <w:spacing w:val="-2"/>
        </w:rPr>
        <w:t xml:space="preserve"> in relation to the Scheme</w:t>
      </w:r>
      <w:r>
        <w:rPr>
          <w:b/>
          <w:bCs/>
        </w:rPr>
        <w:t>, you should seek independent advice immediately from your professional adviser</w:t>
      </w:r>
      <w:r>
        <w:rPr>
          <w:b/>
          <w:spacing w:val="-2"/>
        </w:rPr>
        <w:t xml:space="preserve"> and </w:t>
      </w:r>
      <w:r w:rsidR="0041563E">
        <w:rPr>
          <w:b/>
          <w:spacing w:val="-2"/>
        </w:rPr>
        <w:t>Unit</w:t>
      </w:r>
      <w:r>
        <w:rPr>
          <w:b/>
          <w:spacing w:val="-2"/>
        </w:rPr>
        <w:t>holders who are resident or otherwise subject to taxation in a jurisdiction other than the UK should in addition obtain professional advice about their tax position in relation to the Scheme in their own countries of citizenship, residence or domicile.</w:t>
      </w:r>
    </w:p>
    <w:p w:rsidR="009E4D35" w:rsidRPr="0009387C" w:rsidRDefault="009E4D35" w:rsidP="000D64DC">
      <w:pPr>
        <w:pStyle w:val="MacLevel1"/>
        <w:keepNext/>
        <w:numPr>
          <w:ilvl w:val="1"/>
          <w:numId w:val="22"/>
        </w:numPr>
        <w:rPr>
          <w:rStyle w:val="MacLevel1TOC"/>
        </w:rPr>
      </w:pPr>
      <w:r w:rsidRPr="0009387C">
        <w:rPr>
          <w:rStyle w:val="MacLevel1TOC"/>
        </w:rPr>
        <w:t>Consents</w:t>
      </w:r>
    </w:p>
    <w:bookmarkEnd w:id="21"/>
    <w:p w:rsidR="009E4D35" w:rsidRPr="0009387C" w:rsidRDefault="009E4D35" w:rsidP="0009387C">
      <w:pPr>
        <w:pStyle w:val="Body1"/>
        <w:rPr>
          <w:rFonts w:cs="Arial"/>
        </w:rPr>
      </w:pPr>
      <w:r w:rsidRPr="0009387C">
        <w:rPr>
          <w:rFonts w:cs="Arial"/>
        </w:rPr>
        <w:t xml:space="preserve">Details of the consents and clearances that have been obtained in relation to the Scheme are set out in </w:t>
      </w:r>
      <w:fldSimple w:instr=" REF _Ref282766701 \n  \* MERGEFORMAT ">
        <w:r w:rsidR="003A19A5" w:rsidRPr="003A19A5">
          <w:rPr>
            <w:rFonts w:cs="Arial"/>
          </w:rPr>
          <w:t>appendix C</w:t>
        </w:r>
      </w:fldSimple>
      <w:r w:rsidRPr="0009387C">
        <w:rPr>
          <w:rFonts w:cs="Arial"/>
        </w:rPr>
        <w:t xml:space="preserve"> to this document.</w:t>
      </w:r>
    </w:p>
    <w:p w:rsidR="009E4D35" w:rsidRPr="0009387C" w:rsidRDefault="009E4D35" w:rsidP="00526AF0">
      <w:pPr>
        <w:pStyle w:val="MacLevel1"/>
        <w:keepNext/>
        <w:numPr>
          <w:ilvl w:val="1"/>
          <w:numId w:val="22"/>
        </w:numPr>
        <w:rPr>
          <w:rStyle w:val="MacLevel1TOC"/>
        </w:rPr>
      </w:pPr>
      <w:bookmarkStart w:id="22" w:name="TOClink7"/>
      <w:r w:rsidRPr="0009387C">
        <w:rPr>
          <w:rStyle w:val="MacLevel1TOC"/>
        </w:rPr>
        <w:t xml:space="preserve">Scheme to be </w:t>
      </w:r>
      <w:r w:rsidR="00526AF0">
        <w:rPr>
          <w:rStyle w:val="MacLevel1TOC"/>
        </w:rPr>
        <w:t>b</w:t>
      </w:r>
      <w:r w:rsidR="00526AF0" w:rsidRPr="0009387C">
        <w:rPr>
          <w:rStyle w:val="MacLevel1TOC"/>
        </w:rPr>
        <w:t>inding</w:t>
      </w:r>
    </w:p>
    <w:bookmarkEnd w:id="22"/>
    <w:p w:rsidR="009E4D35" w:rsidRPr="0009387C" w:rsidRDefault="009E4D35" w:rsidP="0009387C">
      <w:pPr>
        <w:pStyle w:val="Body1"/>
        <w:ind w:right="1"/>
        <w:rPr>
          <w:rFonts w:cs="Arial"/>
        </w:rPr>
      </w:pPr>
      <w:r w:rsidRPr="0009387C">
        <w:rPr>
          <w:rFonts w:cs="Arial"/>
        </w:rPr>
        <w:t>If the Extraordinary Resolution is passed, then the Scheme will become effective and will be binding on all Unitholders in the Discontinuing Fund whether or not they voted in favour of it, or voted at all.</w:t>
      </w:r>
    </w:p>
    <w:p w:rsidR="009E4D35" w:rsidRPr="0009387C" w:rsidRDefault="009E4D35" w:rsidP="000D64DC">
      <w:pPr>
        <w:pStyle w:val="MacLevel1"/>
        <w:keepNext/>
        <w:numPr>
          <w:ilvl w:val="1"/>
          <w:numId w:val="22"/>
        </w:numPr>
        <w:rPr>
          <w:rStyle w:val="MacLevel1TOC"/>
        </w:rPr>
      </w:pPr>
      <w:bookmarkStart w:id="23" w:name="TOClink8"/>
      <w:r w:rsidRPr="0009387C">
        <w:rPr>
          <w:rStyle w:val="MacLevel1TOC"/>
        </w:rPr>
        <w:t>Expenses</w:t>
      </w:r>
    </w:p>
    <w:bookmarkEnd w:id="23"/>
    <w:p w:rsidR="009E4D35" w:rsidRPr="0009387C" w:rsidRDefault="009E4D35" w:rsidP="0009387C">
      <w:pPr>
        <w:pStyle w:val="Body1"/>
        <w:ind w:right="1"/>
        <w:rPr>
          <w:rFonts w:cs="Arial"/>
        </w:rPr>
      </w:pPr>
      <w:r w:rsidRPr="0009387C">
        <w:rPr>
          <w:rFonts w:cs="Arial"/>
        </w:rPr>
        <w:t xml:space="preserve">All expenses in relation to the Scheme will be borne by the Manager, except certain expenses which are permitted by the current Prospectus to be borne by the Discontinuing Fund, namely the fees and expenses of the external legal adviser to the Manager in respect of the Discontinuing Fund in respect of the Scheme. Audit costs will </w:t>
      </w:r>
      <w:r w:rsidR="009110EE">
        <w:rPr>
          <w:rFonts w:cs="Arial"/>
        </w:rPr>
        <w:t xml:space="preserve">also </w:t>
      </w:r>
      <w:r w:rsidRPr="0009387C">
        <w:rPr>
          <w:rFonts w:cs="Arial"/>
        </w:rPr>
        <w:t xml:space="preserve">be borne by the Discontinuing Fund.  </w:t>
      </w:r>
      <w:r w:rsidR="009110EE" w:rsidRPr="009110EE">
        <w:rPr>
          <w:rFonts w:cs="Arial"/>
        </w:rPr>
        <w:t xml:space="preserve">The costs </w:t>
      </w:r>
      <w:r w:rsidR="009110EE">
        <w:rPr>
          <w:rFonts w:cs="Arial"/>
        </w:rPr>
        <w:t xml:space="preserve">borne by the Discontinuing Fund </w:t>
      </w:r>
      <w:r w:rsidR="009110EE" w:rsidRPr="009110EE">
        <w:rPr>
          <w:rFonts w:cs="Arial"/>
        </w:rPr>
        <w:t>are expected to be less than 0.15% of the value of the Discontinuing Fund</w:t>
      </w:r>
      <w:r w:rsidR="009110EE">
        <w:rPr>
          <w:rFonts w:cs="Arial"/>
        </w:rPr>
        <w:t>.</w:t>
      </w:r>
    </w:p>
    <w:p w:rsidR="009E4D35" w:rsidRPr="0009387C" w:rsidRDefault="009E4D35" w:rsidP="000D64DC">
      <w:pPr>
        <w:pStyle w:val="MacLevel1"/>
        <w:keepNext/>
        <w:numPr>
          <w:ilvl w:val="1"/>
          <w:numId w:val="22"/>
        </w:numPr>
        <w:rPr>
          <w:rStyle w:val="MacLevel1TOC"/>
        </w:rPr>
      </w:pPr>
      <w:bookmarkStart w:id="24" w:name="TOClink10"/>
      <w:r w:rsidRPr="0009387C">
        <w:rPr>
          <w:rStyle w:val="MacLevel1TOC"/>
        </w:rPr>
        <w:t>Documents available for inspection</w:t>
      </w:r>
    </w:p>
    <w:bookmarkEnd w:id="24"/>
    <w:p w:rsidR="009E4D35" w:rsidRPr="0009387C" w:rsidRDefault="009E4D35" w:rsidP="0009387C">
      <w:pPr>
        <w:pStyle w:val="Body1"/>
        <w:rPr>
          <w:rFonts w:cs="Arial"/>
        </w:rPr>
      </w:pPr>
      <w:r w:rsidRPr="0009387C">
        <w:rPr>
          <w:rFonts w:cs="Arial"/>
        </w:rPr>
        <w:t xml:space="preserve">A list of the documents relating to the Scheme that are available for inspection, together with details of the place and time at which they are available for inspection, is set out in </w:t>
      </w:r>
      <w:fldSimple w:instr=" REF _Ref282766701 \n  \* MERGEFORMAT ">
        <w:r w:rsidR="003A19A5" w:rsidRPr="003A19A5">
          <w:rPr>
            <w:rFonts w:cs="Arial"/>
          </w:rPr>
          <w:t>appendix C</w:t>
        </w:r>
      </w:fldSimple>
      <w:r w:rsidRPr="0009387C">
        <w:rPr>
          <w:rFonts w:cs="Arial"/>
        </w:rPr>
        <w:t xml:space="preserve"> to this document.</w:t>
      </w:r>
    </w:p>
    <w:p w:rsidR="009E4D35" w:rsidRPr="00D53074" w:rsidRDefault="009E4D35" w:rsidP="00532DDA">
      <w:pPr>
        <w:pStyle w:val="Body1"/>
        <w:rPr>
          <w:rFonts w:cs="Arial"/>
          <w:b/>
          <w:color w:val="FF0000"/>
        </w:rPr>
      </w:pPr>
      <w:r w:rsidRPr="0009387C">
        <w:rPr>
          <w:rFonts w:cs="Arial"/>
        </w:rPr>
        <w:t xml:space="preserve">The Prospectus and </w:t>
      </w:r>
      <w:r w:rsidR="000757A6">
        <w:rPr>
          <w:rFonts w:cs="Arial"/>
        </w:rPr>
        <w:t>NURS KII</w:t>
      </w:r>
      <w:r w:rsidR="000757A6" w:rsidRPr="0009387C">
        <w:rPr>
          <w:rFonts w:cs="Arial"/>
        </w:rPr>
        <w:t xml:space="preserve"> </w:t>
      </w:r>
      <w:r w:rsidRPr="0009387C">
        <w:rPr>
          <w:rFonts w:cs="Arial"/>
        </w:rPr>
        <w:t>containing the terms of an investment in the Discontinuing Fund are available from the Manager on request. The Prospectus containing the terms of an investment in the Continuing Fund are available from the ACD on request.</w:t>
      </w:r>
      <w:r w:rsidR="00D53074">
        <w:rPr>
          <w:rFonts w:cs="Arial"/>
        </w:rPr>
        <w:t xml:space="preserve"> </w:t>
      </w:r>
      <w:r w:rsidR="00526AF0">
        <w:rPr>
          <w:rFonts w:cs="Arial"/>
        </w:rPr>
        <w:t xml:space="preserve"> The NURS KII is </w:t>
      </w:r>
      <w:r w:rsidR="00D32EF3">
        <w:rPr>
          <w:rFonts w:cs="Arial"/>
        </w:rPr>
        <w:t>available at www.henderson.com.</w:t>
      </w:r>
    </w:p>
    <w:p w:rsidR="00FD7C5E" w:rsidRDefault="00FD7C5E" w:rsidP="000D64DC">
      <w:pPr>
        <w:pStyle w:val="MacLevel1"/>
        <w:keepNext/>
        <w:numPr>
          <w:ilvl w:val="1"/>
          <w:numId w:val="22"/>
        </w:numPr>
        <w:rPr>
          <w:rStyle w:val="MacLevel1TOC"/>
        </w:rPr>
      </w:pPr>
      <w:bookmarkStart w:id="25" w:name="TOClink11"/>
      <w:r>
        <w:rPr>
          <w:rStyle w:val="MacLevel1TOC"/>
        </w:rPr>
        <w:t>Valuer</w:t>
      </w:r>
    </w:p>
    <w:p w:rsidR="00FD7C5E" w:rsidRPr="00FD7C5E" w:rsidRDefault="00FD7C5E" w:rsidP="00FD7C5E">
      <w:pPr>
        <w:pStyle w:val="Body1"/>
      </w:pPr>
      <w:r>
        <w:t>If the Extraordinary Resolution is passed, then CBRE Limited will replace Knight Frank LLP as the independent valuer of the Discontinuing Fund with effect from the date the Extraordinary Resolution is passed.</w:t>
      </w:r>
    </w:p>
    <w:p w:rsidR="009E4D35" w:rsidRPr="0009387C" w:rsidRDefault="009E4D35" w:rsidP="000D64DC">
      <w:pPr>
        <w:pStyle w:val="MacLevel1"/>
        <w:keepNext/>
        <w:numPr>
          <w:ilvl w:val="1"/>
          <w:numId w:val="22"/>
        </w:numPr>
        <w:rPr>
          <w:rStyle w:val="MacLevel1TOC"/>
        </w:rPr>
      </w:pPr>
      <w:r w:rsidRPr="0009387C">
        <w:rPr>
          <w:rStyle w:val="MacLevel1TOC"/>
        </w:rPr>
        <w:t>Financial adviser</w:t>
      </w:r>
    </w:p>
    <w:p w:rsidR="009E4D35" w:rsidRPr="0009387C" w:rsidRDefault="009E4D35" w:rsidP="0009387C">
      <w:pPr>
        <w:pStyle w:val="Body1"/>
      </w:pPr>
      <w:r w:rsidRPr="0009387C">
        <w:t xml:space="preserve">We will assume that your financial adviser has not provided any investment advice to you in relation to this Scheme. </w:t>
      </w:r>
    </w:p>
    <w:p w:rsidR="009E4D35" w:rsidRPr="0009387C" w:rsidRDefault="009E4D35" w:rsidP="0009387C">
      <w:pPr>
        <w:pStyle w:val="Body1"/>
      </w:pPr>
      <w:r w:rsidRPr="0009387C">
        <w:t xml:space="preserve">As such, if he/she was entitled to receive trail commission in relation to your original investment </w:t>
      </w:r>
      <w:r w:rsidR="00886E58">
        <w:t>t</w:t>
      </w:r>
      <w:r w:rsidR="00075D95">
        <w:t>he ACD of the Continuing Fund</w:t>
      </w:r>
      <w:r w:rsidRPr="0009387C">
        <w:t xml:space="preserve"> will continue to pay such trail commission to </w:t>
      </w:r>
      <w:r w:rsidRPr="0009387C">
        <w:lastRenderedPageBreak/>
        <w:t>him/her until such time as you or he/she inform</w:t>
      </w:r>
      <w:r w:rsidR="00075D95">
        <w:t>s</w:t>
      </w:r>
      <w:r w:rsidRPr="0009387C">
        <w:t xml:space="preserve"> </w:t>
      </w:r>
      <w:r w:rsidR="00075D95">
        <w:t>the ACD of the Continuing Fund</w:t>
      </w:r>
      <w:r w:rsidRPr="0009387C">
        <w:t xml:space="preserve"> that the payment of commission should cease.  </w:t>
      </w:r>
    </w:p>
    <w:p w:rsidR="00552466" w:rsidRPr="0009387C" w:rsidRDefault="00552466" w:rsidP="00552466">
      <w:pPr>
        <w:pStyle w:val="MacLevel1"/>
        <w:keepNext/>
        <w:numPr>
          <w:ilvl w:val="1"/>
          <w:numId w:val="22"/>
        </w:numPr>
        <w:rPr>
          <w:rStyle w:val="MacLevel1TOC"/>
        </w:rPr>
      </w:pPr>
      <w:r w:rsidRPr="0009387C">
        <w:rPr>
          <w:rStyle w:val="MacLevel1TOC"/>
        </w:rPr>
        <w:t xml:space="preserve">Action to be taken </w:t>
      </w:r>
    </w:p>
    <w:p w:rsidR="00552466" w:rsidRDefault="00552466" w:rsidP="00B53274">
      <w:pPr>
        <w:pStyle w:val="MacLevel1"/>
        <w:keepNext/>
        <w:numPr>
          <w:ilvl w:val="0"/>
          <w:numId w:val="0"/>
        </w:numPr>
        <w:spacing w:after="0"/>
        <w:ind w:left="864"/>
        <w:rPr>
          <w:rFonts w:cs="Arial"/>
        </w:rPr>
      </w:pPr>
      <w:r w:rsidRPr="00EF3CCE">
        <w:rPr>
          <w:rFonts w:cs="Arial"/>
        </w:rPr>
        <w:t xml:space="preserve">It is important that </w:t>
      </w:r>
      <w:r>
        <w:rPr>
          <w:rFonts w:cs="Arial"/>
        </w:rPr>
        <w:t>Unit</w:t>
      </w:r>
      <w:r w:rsidRPr="00EF3CCE">
        <w:rPr>
          <w:rFonts w:cs="Arial"/>
        </w:rPr>
        <w:t xml:space="preserve">holders read this </w:t>
      </w:r>
      <w:r>
        <w:rPr>
          <w:rFonts w:cs="Arial"/>
        </w:rPr>
        <w:t>c</w:t>
      </w:r>
      <w:r w:rsidRPr="00EF3CCE">
        <w:rPr>
          <w:rFonts w:cs="Arial"/>
        </w:rPr>
        <w:t xml:space="preserve">ircular, which includes the </w:t>
      </w:r>
      <w:r>
        <w:rPr>
          <w:rFonts w:cs="Arial"/>
        </w:rPr>
        <w:t>a</w:t>
      </w:r>
      <w:r w:rsidRPr="00EF3CCE">
        <w:rPr>
          <w:rFonts w:cs="Arial"/>
        </w:rPr>
        <w:t xml:space="preserve">ppendices carefully.  </w:t>
      </w:r>
      <w:r>
        <w:rPr>
          <w:rFonts w:cs="Arial"/>
        </w:rPr>
        <w:t>Unit</w:t>
      </w:r>
      <w:r w:rsidRPr="00EF3CCE">
        <w:rPr>
          <w:rFonts w:cs="Arial"/>
        </w:rPr>
        <w:t>holders who are unable to attend the meeting are invited to return their Form of Proxy as soon as possible and in any event to arrive no later than 48 hours before the meeting</w:t>
      </w:r>
      <w:r>
        <w:rPr>
          <w:rFonts w:cs="Arial"/>
        </w:rPr>
        <w:t>.</w:t>
      </w:r>
    </w:p>
    <w:p w:rsidR="00B53274" w:rsidRPr="00B53274" w:rsidRDefault="00B53274" w:rsidP="00B53274">
      <w:pPr>
        <w:pStyle w:val="Body1"/>
        <w:spacing w:after="0"/>
      </w:pPr>
    </w:p>
    <w:p w:rsidR="009E4D35" w:rsidRPr="0009387C" w:rsidRDefault="00EF3CCE" w:rsidP="000D64DC">
      <w:pPr>
        <w:pStyle w:val="MacLevel1"/>
        <w:keepNext/>
        <w:numPr>
          <w:ilvl w:val="1"/>
          <w:numId w:val="22"/>
        </w:numPr>
        <w:rPr>
          <w:rStyle w:val="MacLevel1TOC"/>
        </w:rPr>
      </w:pPr>
      <w:r>
        <w:rPr>
          <w:rStyle w:val="MacLevel1TOC"/>
        </w:rPr>
        <w:t>Recommendation</w:t>
      </w:r>
    </w:p>
    <w:bookmarkEnd w:id="25"/>
    <w:p w:rsidR="009E4D35" w:rsidRPr="00EF3CCE" w:rsidRDefault="00EF3CCE" w:rsidP="0009387C">
      <w:pPr>
        <w:pStyle w:val="Body1"/>
        <w:rPr>
          <w:rFonts w:cs="Arial"/>
          <w:b/>
        </w:rPr>
      </w:pPr>
      <w:r w:rsidRPr="00EF3CCE">
        <w:rPr>
          <w:rFonts w:cs="Arial"/>
          <w:b/>
        </w:rPr>
        <w:t xml:space="preserve">The </w:t>
      </w:r>
      <w:r>
        <w:rPr>
          <w:rFonts w:cs="Arial"/>
          <w:b/>
        </w:rPr>
        <w:t>Manager</w:t>
      </w:r>
      <w:r w:rsidRPr="00EF3CCE">
        <w:rPr>
          <w:rFonts w:cs="Arial"/>
          <w:b/>
        </w:rPr>
        <w:t xml:space="preserve"> believes that the proposals set out in this document are in the best interests of the </w:t>
      </w:r>
      <w:r>
        <w:rPr>
          <w:rFonts w:cs="Arial"/>
          <w:b/>
        </w:rPr>
        <w:t>Unit</w:t>
      </w:r>
      <w:r w:rsidRPr="00EF3CCE">
        <w:rPr>
          <w:rFonts w:cs="Arial"/>
          <w:b/>
        </w:rPr>
        <w:t xml:space="preserve">holders.  The </w:t>
      </w:r>
      <w:r>
        <w:rPr>
          <w:rFonts w:cs="Arial"/>
          <w:b/>
        </w:rPr>
        <w:t>Manager</w:t>
      </w:r>
      <w:r w:rsidRPr="00EF3CCE">
        <w:rPr>
          <w:rFonts w:cs="Arial"/>
          <w:b/>
        </w:rPr>
        <w:t xml:space="preserve"> therefore recommends that </w:t>
      </w:r>
      <w:r>
        <w:rPr>
          <w:rFonts w:cs="Arial"/>
          <w:b/>
        </w:rPr>
        <w:t>Unit</w:t>
      </w:r>
      <w:r w:rsidRPr="00EF3CCE">
        <w:rPr>
          <w:rFonts w:cs="Arial"/>
          <w:b/>
        </w:rPr>
        <w:t>holders vote in favour of the resolution being proposed at the Extraordinary General Meeting</w:t>
      </w:r>
      <w:r w:rsidR="009E4D35" w:rsidRPr="00EF3CCE">
        <w:rPr>
          <w:rFonts w:cs="Arial"/>
          <w:b/>
        </w:rPr>
        <w:t>.</w:t>
      </w:r>
    </w:p>
    <w:p w:rsidR="009E4D35" w:rsidRPr="0009387C" w:rsidRDefault="009E4D35" w:rsidP="0009387C">
      <w:pPr>
        <w:pStyle w:val="Body1"/>
        <w:rPr>
          <w:rFonts w:cs="Arial"/>
        </w:rPr>
      </w:pPr>
      <w:r w:rsidRPr="0009387C">
        <w:rPr>
          <w:rFonts w:cs="Arial"/>
        </w:rPr>
        <w:t>If you have any questions concerning the Scheme or any of the other matters in this letter please consult your financial adviser or contact the Manager on +44 (0)20</w:t>
      </w:r>
      <w:r w:rsidR="00BF5320">
        <w:rPr>
          <w:rFonts w:cs="Arial"/>
        </w:rPr>
        <w:t xml:space="preserve"> </w:t>
      </w:r>
      <w:r w:rsidRPr="0009387C">
        <w:rPr>
          <w:rFonts w:cs="Arial"/>
        </w:rPr>
        <w:t xml:space="preserve">7332 7524. Please be aware that the Manager is unable to provide you with financial or investment advice. </w:t>
      </w:r>
    </w:p>
    <w:p w:rsidR="009E4D35" w:rsidRPr="0009387C" w:rsidRDefault="009E4D35" w:rsidP="0009387C">
      <w:pPr>
        <w:pStyle w:val="Body1"/>
        <w:rPr>
          <w:rFonts w:cs="Arial"/>
        </w:rPr>
      </w:pPr>
      <w:r w:rsidRPr="0009387C">
        <w:rPr>
          <w:rFonts w:cs="Arial"/>
        </w:rPr>
        <w:t xml:space="preserve">The </w:t>
      </w:r>
      <w:r w:rsidRPr="0009387C">
        <w:rPr>
          <w:rFonts w:cs="Arial"/>
          <w:noProof/>
          <w:lang w:val="en-US"/>
        </w:rPr>
        <w:t xml:space="preserve">FCA </w:t>
      </w:r>
      <w:r w:rsidRPr="0009387C">
        <w:rPr>
          <w:rFonts w:cs="Arial"/>
        </w:rPr>
        <w:t>has been informed of the proposal contained in this document and has confirmed that the implementation of the proposal as set out in this document will not affect the continuing authorisation of the Continuing Fund as an authorised fund.</w:t>
      </w:r>
    </w:p>
    <w:p w:rsidR="009E4D35" w:rsidRPr="0009387C" w:rsidRDefault="009E4D35" w:rsidP="0009387C">
      <w:pPr>
        <w:pStyle w:val="Body1"/>
        <w:rPr>
          <w:rFonts w:cs="Arial"/>
        </w:rPr>
      </w:pPr>
      <w:r w:rsidRPr="0009387C">
        <w:rPr>
          <w:rFonts w:cs="Arial"/>
        </w:rPr>
        <w:t>Yours faithfully,</w:t>
      </w:r>
    </w:p>
    <w:p w:rsidR="009E4D35" w:rsidRPr="0009387C" w:rsidRDefault="009E4D35" w:rsidP="0009387C">
      <w:pPr>
        <w:pStyle w:val="Body1"/>
        <w:rPr>
          <w:rFonts w:cs="Arial"/>
        </w:rPr>
      </w:pPr>
    </w:p>
    <w:p w:rsidR="009E4D35" w:rsidRPr="0009387C" w:rsidRDefault="009E4D35" w:rsidP="0009387C">
      <w:pPr>
        <w:pStyle w:val="Body1"/>
        <w:spacing w:after="0"/>
        <w:rPr>
          <w:rFonts w:cs="Arial"/>
        </w:rPr>
      </w:pPr>
      <w:r w:rsidRPr="0009387C">
        <w:rPr>
          <w:rFonts w:cs="Arial"/>
        </w:rPr>
        <w:t>Paul Nathan</w:t>
      </w:r>
    </w:p>
    <w:p w:rsidR="009E4D35" w:rsidRPr="0009387C" w:rsidRDefault="009E4D35" w:rsidP="0009387C">
      <w:pPr>
        <w:pStyle w:val="Body1"/>
        <w:spacing w:after="0"/>
        <w:rPr>
          <w:rFonts w:cs="Arial"/>
        </w:rPr>
      </w:pPr>
      <w:r w:rsidRPr="0009387C">
        <w:rPr>
          <w:rFonts w:cs="Arial"/>
        </w:rPr>
        <w:t>(Director)</w:t>
      </w:r>
    </w:p>
    <w:p w:rsidR="009E4D35" w:rsidRDefault="009E4D35" w:rsidP="0009387C">
      <w:pPr>
        <w:pStyle w:val="Body1"/>
        <w:rPr>
          <w:rFonts w:cs="Arial"/>
        </w:rPr>
      </w:pPr>
      <w:r w:rsidRPr="0009387C">
        <w:rPr>
          <w:rFonts w:cs="Arial"/>
        </w:rPr>
        <w:t>for Old Mutual Investment Management Limited</w:t>
      </w:r>
    </w:p>
    <w:p w:rsidR="00953E1E" w:rsidRPr="0009387C" w:rsidRDefault="00953E1E" w:rsidP="0009387C">
      <w:pPr>
        <w:pStyle w:val="Body1"/>
        <w:rPr>
          <w:rFonts w:cs="Arial"/>
        </w:rPr>
      </w:pPr>
      <w:r>
        <w:rPr>
          <w:rFonts w:cs="Arial"/>
        </w:rPr>
        <w:br w:type="page"/>
      </w:r>
    </w:p>
    <w:p w:rsidR="009E4D35" w:rsidRPr="0009387C" w:rsidRDefault="009E4D35" w:rsidP="0009387C">
      <w:pPr>
        <w:pStyle w:val="AppendixHeadingTOC"/>
        <w:keepNext/>
        <w:tabs>
          <w:tab w:val="clear" w:pos="864"/>
        </w:tabs>
        <w:ind w:left="0" w:firstLine="0"/>
        <w:rPr>
          <w:rStyle w:val="HiddenText"/>
          <w:rFonts w:cs="Arial"/>
          <w:color w:val="auto"/>
        </w:rPr>
      </w:pPr>
    </w:p>
    <w:p w:rsidR="009E4D35" w:rsidRPr="0009387C" w:rsidRDefault="009E4D35" w:rsidP="0009387C">
      <w:pPr>
        <w:pStyle w:val="AppendixSubHeadingTOC"/>
        <w:rPr>
          <w:rFonts w:cs="Arial"/>
        </w:rPr>
      </w:pPr>
      <w:r w:rsidRPr="0009387C">
        <w:rPr>
          <w:rFonts w:cs="Arial"/>
        </w:rPr>
        <w:t>SCHEME OF ARRANGEMENT</w:t>
      </w:r>
    </w:p>
    <w:p w:rsidR="009E4D35" w:rsidRPr="0009387C" w:rsidRDefault="009E4D35" w:rsidP="0009387C">
      <w:pPr>
        <w:rPr>
          <w:rFonts w:cs="Arial"/>
        </w:rPr>
      </w:pPr>
      <w:r w:rsidRPr="0009387C">
        <w:rPr>
          <w:rFonts w:cs="Arial"/>
        </w:rPr>
        <w:t xml:space="preserve">The following terms shall apply to the proposal for the merger of the Discontinuing Fund with the Continuing Fund. </w:t>
      </w:r>
    </w:p>
    <w:p w:rsidR="009E4D35" w:rsidRPr="0009387C" w:rsidRDefault="009E4D35" w:rsidP="000D64DC">
      <w:pPr>
        <w:pStyle w:val="ScheduleLevel1"/>
        <w:numPr>
          <w:ilvl w:val="2"/>
          <w:numId w:val="20"/>
        </w:numPr>
        <w:rPr>
          <w:b/>
        </w:rPr>
      </w:pPr>
      <w:r w:rsidRPr="0009387C">
        <w:rPr>
          <w:b/>
        </w:rPr>
        <w:t>Definitions</w:t>
      </w:r>
    </w:p>
    <w:p w:rsidR="009E4D35" w:rsidRPr="0009387C" w:rsidRDefault="009E4D35" w:rsidP="000D64DC">
      <w:pPr>
        <w:pStyle w:val="ScheduleLevel2"/>
        <w:numPr>
          <w:ilvl w:val="3"/>
          <w:numId w:val="20"/>
        </w:numPr>
      </w:pPr>
      <w:r w:rsidRPr="0009387C">
        <w:t>In this scheme of arrangement (the “</w:t>
      </w:r>
      <w:r w:rsidRPr="0009387C">
        <w:rPr>
          <w:b/>
        </w:rPr>
        <w:t>Scheme</w:t>
      </w:r>
      <w:r w:rsidRPr="0009387C">
        <w:t xml:space="preserve">”) the expressions set out in the Glossary of this circular have the meanings specified in that Glossary. </w:t>
      </w:r>
    </w:p>
    <w:p w:rsidR="009E4D35" w:rsidRPr="0009387C" w:rsidRDefault="009E4D35" w:rsidP="000D64DC">
      <w:pPr>
        <w:pStyle w:val="ScheduleLevel2"/>
        <w:numPr>
          <w:ilvl w:val="3"/>
          <w:numId w:val="20"/>
        </w:numPr>
        <w:rPr>
          <w:rFonts w:cs="Arial"/>
        </w:rPr>
      </w:pPr>
      <w:r w:rsidRPr="0009387C">
        <w:rPr>
          <w:rFonts w:cs="Arial"/>
        </w:rPr>
        <w:t>In so far as any of the provisions of this Scheme are inconsistent with the Incorporation Documentation, the provisions of the Incorporation Documentation shall prevail.</w:t>
      </w:r>
    </w:p>
    <w:p w:rsidR="009E4D35" w:rsidRPr="0009387C" w:rsidRDefault="009E4D35" w:rsidP="000D64DC">
      <w:pPr>
        <w:pStyle w:val="ScheduleLevel2"/>
        <w:numPr>
          <w:ilvl w:val="3"/>
          <w:numId w:val="20"/>
        </w:numPr>
        <w:rPr>
          <w:rFonts w:cs="Arial"/>
        </w:rPr>
      </w:pPr>
      <w:r w:rsidRPr="0009387C">
        <w:rPr>
          <w:rFonts w:cs="Arial"/>
        </w:rPr>
        <w:t>In so far as any of the provisions of this Scheme are inconsistent with the Regulations, the Regulations shall prevail.</w:t>
      </w:r>
    </w:p>
    <w:p w:rsidR="009E4D35" w:rsidRPr="0009387C" w:rsidRDefault="009E4D35" w:rsidP="000D64DC">
      <w:pPr>
        <w:pStyle w:val="ScheduleLevel1"/>
        <w:keepNext/>
        <w:numPr>
          <w:ilvl w:val="2"/>
          <w:numId w:val="20"/>
        </w:numPr>
        <w:rPr>
          <w:rFonts w:cs="Arial"/>
          <w:b/>
        </w:rPr>
      </w:pPr>
      <w:r w:rsidRPr="0009387C">
        <w:rPr>
          <w:rFonts w:cs="Arial"/>
          <w:b/>
        </w:rPr>
        <w:t>Transfer</w:t>
      </w:r>
    </w:p>
    <w:p w:rsidR="009E4D35" w:rsidRPr="0009387C" w:rsidRDefault="009E4D35" w:rsidP="00526AF0">
      <w:pPr>
        <w:pStyle w:val="ScheduleLevel2"/>
        <w:numPr>
          <w:ilvl w:val="3"/>
          <w:numId w:val="20"/>
        </w:numPr>
        <w:rPr>
          <w:rFonts w:cs="Arial"/>
        </w:rPr>
      </w:pPr>
      <w:r w:rsidRPr="0009387C">
        <w:rPr>
          <w:rFonts w:cs="Arial"/>
        </w:rPr>
        <w:t xml:space="preserve">The transfer of the net assets of the Discontinuing Fund to the Continuing Fund is subject to the passing of an </w:t>
      </w:r>
      <w:r w:rsidR="00526AF0">
        <w:rPr>
          <w:rFonts w:cs="Arial"/>
        </w:rPr>
        <w:t>E</w:t>
      </w:r>
      <w:r w:rsidRPr="0009387C">
        <w:rPr>
          <w:rFonts w:cs="Arial"/>
        </w:rPr>
        <w:t xml:space="preserve">xtraordinary </w:t>
      </w:r>
      <w:r w:rsidR="00526AF0">
        <w:rPr>
          <w:rFonts w:cs="Arial"/>
        </w:rPr>
        <w:t>R</w:t>
      </w:r>
      <w:r w:rsidRPr="0009387C">
        <w:rPr>
          <w:rFonts w:cs="Arial"/>
        </w:rPr>
        <w:t>esolution by Unitholders in the Discontinuing Fund, by which Unitholders approve the Scheme and authorise the Manager and the Trustee to implement this Scheme.</w:t>
      </w:r>
    </w:p>
    <w:p w:rsidR="009E4D35" w:rsidRPr="0009387C" w:rsidRDefault="009E4D35" w:rsidP="00526AF0">
      <w:pPr>
        <w:pStyle w:val="ScheduleLevel2"/>
        <w:numPr>
          <w:ilvl w:val="3"/>
          <w:numId w:val="20"/>
        </w:numPr>
        <w:rPr>
          <w:rFonts w:cs="Arial"/>
        </w:rPr>
      </w:pPr>
      <w:r w:rsidRPr="0009387C">
        <w:rPr>
          <w:rFonts w:cs="Arial"/>
        </w:rPr>
        <w:t xml:space="preserve">Upon passing of such an </w:t>
      </w:r>
      <w:r w:rsidR="00526AF0">
        <w:rPr>
          <w:rFonts w:cs="Arial"/>
        </w:rPr>
        <w:t>E</w:t>
      </w:r>
      <w:r w:rsidRPr="0009387C">
        <w:rPr>
          <w:rFonts w:cs="Arial"/>
        </w:rPr>
        <w:t xml:space="preserve">xtraordinary </w:t>
      </w:r>
      <w:r w:rsidR="00526AF0">
        <w:rPr>
          <w:rFonts w:cs="Arial"/>
        </w:rPr>
        <w:t>R</w:t>
      </w:r>
      <w:r w:rsidRPr="0009387C">
        <w:rPr>
          <w:rFonts w:cs="Arial"/>
        </w:rPr>
        <w:t>esolution, the Scheme will be binding on all Unitholders in the Discontinuing Fund, and the transfer will be implemented as set out in the following paragraphs.</w:t>
      </w:r>
    </w:p>
    <w:p w:rsidR="009E4D35" w:rsidRPr="0009387C" w:rsidRDefault="009E4D35" w:rsidP="000D64DC">
      <w:pPr>
        <w:pStyle w:val="ScheduleLevel2"/>
        <w:numPr>
          <w:ilvl w:val="3"/>
          <w:numId w:val="20"/>
        </w:numPr>
        <w:rPr>
          <w:rFonts w:cs="Arial"/>
        </w:rPr>
      </w:pPr>
      <w:r w:rsidRPr="0009387C">
        <w:rPr>
          <w:rFonts w:cs="Arial"/>
        </w:rPr>
        <w:t>On and from the Effective Date (subject to the terms of this Scheme) the assets of the Discontinuing Fund shall become the assets of the Continuing Fund by being applied to the Continuing Fund in accordance with the provisions of the Scheme and ceasing to be applied to the Discontinuing Fund.</w:t>
      </w:r>
    </w:p>
    <w:p w:rsidR="007D3BD4" w:rsidRDefault="009E4D35" w:rsidP="00825D1B">
      <w:pPr>
        <w:pStyle w:val="ScheduleLevel2"/>
        <w:numPr>
          <w:ilvl w:val="3"/>
          <w:numId w:val="20"/>
        </w:numPr>
        <w:rPr>
          <w:rFonts w:cs="Arial"/>
        </w:rPr>
      </w:pPr>
      <w:r w:rsidRPr="0009387C">
        <w:rPr>
          <w:rFonts w:cs="Arial"/>
        </w:rPr>
        <w:t>On the Effective Date, the Manager and the Trustee shall in respect of the Discontinuing Fund be entitled to receive for its own account the amounts of its periodic charges and expenses accrued up to the Effective Date and remaining unpaid.</w:t>
      </w:r>
    </w:p>
    <w:p w:rsidR="007D3BD4" w:rsidRPr="00825D1B" w:rsidRDefault="007D3BD4" w:rsidP="00825D1B">
      <w:pPr>
        <w:pStyle w:val="ScheduleLevel2"/>
        <w:numPr>
          <w:ilvl w:val="3"/>
          <w:numId w:val="20"/>
        </w:numPr>
        <w:rPr>
          <w:rFonts w:cs="Arial"/>
        </w:rPr>
      </w:pPr>
      <w:r w:rsidRPr="00825D1B">
        <w:rPr>
          <w:rFonts w:cs="Arial"/>
        </w:rPr>
        <w:t>The Manager shall determine the amount (if any) of income available for distribution to Unitholders in respect of the period which commenced on 31 March 2014 to the Effective Date.  Any income accrued shall be crystallised at the Effective Date and accumulated for accumulation Unitholders or paid out to income Unitholders within two months of the Effective Date. The amounts of any such distribution payments to be so made and of any unclaimed distribution payments in respect of previous accounting periods of the Discontinuing Fund which are unclaimed after a period of six months from the relevant dates of payment shall be held by the Trustee on trust for the persons respectively entitled thereto in a separate designated account.</w:t>
      </w:r>
    </w:p>
    <w:p w:rsidR="009E4D35" w:rsidRPr="0009387C" w:rsidRDefault="009E4D35" w:rsidP="000D64DC">
      <w:pPr>
        <w:pStyle w:val="ScheduleLevel1"/>
        <w:keepNext/>
        <w:numPr>
          <w:ilvl w:val="2"/>
          <w:numId w:val="20"/>
        </w:numPr>
        <w:rPr>
          <w:rFonts w:cs="Arial"/>
          <w:b/>
        </w:rPr>
      </w:pPr>
      <w:r w:rsidRPr="0009387C">
        <w:rPr>
          <w:rFonts w:cs="Arial"/>
          <w:b/>
        </w:rPr>
        <w:t>Suspension of dealings in the Discontinuing Fund and valuation</w:t>
      </w:r>
    </w:p>
    <w:p w:rsidR="009E4D35" w:rsidRPr="0009387C" w:rsidRDefault="009E4D35" w:rsidP="008634EC">
      <w:pPr>
        <w:pStyle w:val="ScheduleLevel2"/>
        <w:numPr>
          <w:ilvl w:val="3"/>
          <w:numId w:val="20"/>
        </w:numPr>
        <w:rPr>
          <w:rFonts w:cs="Arial"/>
        </w:rPr>
      </w:pPr>
      <w:r w:rsidRPr="0009387C">
        <w:rPr>
          <w:rFonts w:cs="Arial"/>
        </w:rPr>
        <w:t>To facilitate the implementation of the Scheme, dealings in Units will cease at 12</w:t>
      </w:r>
      <w:r w:rsidR="00413226">
        <w:rPr>
          <w:rFonts w:cs="Arial"/>
        </w:rPr>
        <w:t>.01pm</w:t>
      </w:r>
      <w:r w:rsidRPr="0009387C">
        <w:rPr>
          <w:rFonts w:cs="Arial"/>
        </w:rPr>
        <w:t xml:space="preserve"> on </w:t>
      </w:r>
      <w:r w:rsidR="003F1DE3">
        <w:rPr>
          <w:rFonts w:cs="Arial"/>
        </w:rPr>
        <w:t>1</w:t>
      </w:r>
      <w:r w:rsidR="00290C5C">
        <w:rPr>
          <w:rFonts w:cs="Arial"/>
        </w:rPr>
        <w:t>4</w:t>
      </w:r>
      <w:r w:rsidR="008D692D">
        <w:rPr>
          <w:rFonts w:cs="Arial"/>
        </w:rPr>
        <w:t xml:space="preserve"> January</w:t>
      </w:r>
      <w:r w:rsidRPr="0009387C">
        <w:rPr>
          <w:rFonts w:cs="Arial"/>
        </w:rPr>
        <w:t xml:space="preserve"> 201</w:t>
      </w:r>
      <w:r w:rsidR="008D692D">
        <w:rPr>
          <w:rFonts w:cs="Arial"/>
        </w:rPr>
        <w:t>5</w:t>
      </w:r>
      <w:r w:rsidRPr="0009387C">
        <w:rPr>
          <w:rFonts w:cs="Arial"/>
        </w:rPr>
        <w:t>.</w:t>
      </w:r>
    </w:p>
    <w:p w:rsidR="009E4D35" w:rsidRPr="0009387C" w:rsidRDefault="009E4D35" w:rsidP="000D64DC">
      <w:pPr>
        <w:pStyle w:val="ScheduleLevel2"/>
        <w:numPr>
          <w:ilvl w:val="3"/>
          <w:numId w:val="20"/>
        </w:numPr>
        <w:rPr>
          <w:rFonts w:cs="Arial"/>
        </w:rPr>
      </w:pPr>
      <w:r w:rsidRPr="0009387C">
        <w:rPr>
          <w:rFonts w:cs="Arial"/>
        </w:rPr>
        <w:t xml:space="preserve">The value of the assets and liabilities of the Discontinuing Fund held in accordance with this Scheme and of the assets and liabilities of the Continuing Fund for the purposes of paragraph </w:t>
      </w:r>
      <w:r w:rsidR="00FA4FEA">
        <w:fldChar w:fldCharType="begin"/>
      </w:r>
      <w:r w:rsidR="00FA4FEA">
        <w:instrText xml:space="preserve"> REF _Ref286413651 \r \h  \* MERGEFORMAT </w:instrText>
      </w:r>
      <w:r w:rsidR="00FA4FEA">
        <w:fldChar w:fldCharType="separate"/>
      </w:r>
      <w:r w:rsidR="003A19A5">
        <w:t>4</w:t>
      </w:r>
      <w:r w:rsidR="00FA4FEA">
        <w:fldChar w:fldCharType="end"/>
      </w:r>
      <w:r w:rsidRPr="0009387C">
        <w:rPr>
          <w:rFonts w:cs="Arial"/>
        </w:rPr>
        <w:t xml:space="preserve"> of this Scheme </w:t>
      </w:r>
      <w:r w:rsidR="00445ADB">
        <w:rPr>
          <w:rFonts w:cs="Arial"/>
        </w:rPr>
        <w:t>shall be ascertained as at 12.0</w:t>
      </w:r>
      <w:r w:rsidR="00290C5C">
        <w:rPr>
          <w:rFonts w:cs="Arial"/>
        </w:rPr>
        <w:t>1</w:t>
      </w:r>
      <w:r w:rsidRPr="0009387C">
        <w:rPr>
          <w:rFonts w:cs="Arial"/>
        </w:rPr>
        <w:t xml:space="preserve"> noon on </w:t>
      </w:r>
      <w:r w:rsidR="008D692D">
        <w:rPr>
          <w:rFonts w:cs="Arial"/>
        </w:rPr>
        <w:t>1</w:t>
      </w:r>
      <w:r w:rsidR="00290C5C">
        <w:rPr>
          <w:rFonts w:cs="Arial"/>
        </w:rPr>
        <w:t>5</w:t>
      </w:r>
      <w:r w:rsidR="008D692D">
        <w:rPr>
          <w:rFonts w:cs="Arial"/>
        </w:rPr>
        <w:t xml:space="preserve"> January 2015</w:t>
      </w:r>
      <w:r w:rsidRPr="0009387C">
        <w:rPr>
          <w:rFonts w:cs="Arial"/>
        </w:rPr>
        <w:t xml:space="preserve"> on the basis of mid-market prices and in accordance with the Regulations, meaning that</w:t>
      </w:r>
      <w:bookmarkStart w:id="26" w:name="_DV_M140"/>
      <w:bookmarkEnd w:id="26"/>
      <w:r w:rsidRPr="0009387C">
        <w:rPr>
          <w:rFonts w:cs="Arial"/>
        </w:rPr>
        <w:t xml:space="preserve"> where two prices are quoted for an asset according to whether it is being bought or sold, that asset will be valued at the mid-point between those two prices. </w:t>
      </w:r>
      <w:r w:rsidR="008634EC">
        <w:rPr>
          <w:rFonts w:cs="Arial"/>
        </w:rPr>
        <w:t xml:space="preserve"> The immovable property assets will be valued by the Fund</w:t>
      </w:r>
      <w:r w:rsidR="00A24CFD">
        <w:rPr>
          <w:rFonts w:cs="Arial"/>
        </w:rPr>
        <w:t>s’</w:t>
      </w:r>
      <w:r w:rsidR="008634EC">
        <w:rPr>
          <w:rFonts w:cs="Arial"/>
        </w:rPr>
        <w:t xml:space="preserve"> independent property valuers.</w:t>
      </w:r>
    </w:p>
    <w:p w:rsidR="009E4D35" w:rsidRPr="0009387C" w:rsidRDefault="009E4D35" w:rsidP="000D64DC">
      <w:pPr>
        <w:pStyle w:val="ScheduleLevel2"/>
        <w:numPr>
          <w:ilvl w:val="3"/>
          <w:numId w:val="20"/>
        </w:numPr>
        <w:rPr>
          <w:rFonts w:cs="Arial"/>
        </w:rPr>
      </w:pPr>
      <w:r w:rsidRPr="0009387C">
        <w:rPr>
          <w:rFonts w:cs="Arial"/>
        </w:rPr>
        <w:lastRenderedPageBreak/>
        <w:t xml:space="preserve">The usual estimate of dealing costs taken into account when calculating the price of a Unit in the Discontinuing Fund will not be included in calculating the Discontinuing Fund Net Asset Value for the purposes of the conversion. </w:t>
      </w:r>
    </w:p>
    <w:p w:rsidR="009E4D35" w:rsidRPr="0009387C" w:rsidRDefault="009E4D35" w:rsidP="000D64DC">
      <w:pPr>
        <w:pStyle w:val="ScheduleLevel2"/>
        <w:numPr>
          <w:ilvl w:val="3"/>
          <w:numId w:val="20"/>
        </w:numPr>
        <w:rPr>
          <w:rFonts w:cs="Arial"/>
        </w:rPr>
      </w:pPr>
      <w:r w:rsidRPr="0009387C">
        <w:rPr>
          <w:rFonts w:cs="Arial"/>
        </w:rPr>
        <w:t>The values ascertained in accordance with this Scheme will be used to calculate the number of Shares to be issued to each existing Unitholder.</w:t>
      </w:r>
      <w:bookmarkStart w:id="27" w:name="_DV_M143"/>
      <w:bookmarkEnd w:id="27"/>
      <w:r w:rsidRPr="0009387C">
        <w:rPr>
          <w:rFonts w:cs="Arial"/>
        </w:rPr>
        <w:t xml:space="preserve"> The Manager shall calculate the Retained Amount which shall be held by the Trustee and applied in accordance with this Scheme.  Any remaining balance thereafter shall be transferred to the Continuing Fund, subject to the Discontinuing Fund retaining such balance as shall be deemed necessary by the Manager to meet any outstanding liabilities.</w:t>
      </w:r>
    </w:p>
    <w:p w:rsidR="009E4D35" w:rsidRPr="0009387C" w:rsidRDefault="009E4D35" w:rsidP="000D64DC">
      <w:pPr>
        <w:pStyle w:val="ScheduleLevel1"/>
        <w:keepNext/>
        <w:numPr>
          <w:ilvl w:val="2"/>
          <w:numId w:val="20"/>
        </w:numPr>
        <w:rPr>
          <w:rFonts w:cs="Arial"/>
          <w:b/>
        </w:rPr>
      </w:pPr>
      <w:bookmarkStart w:id="28" w:name="_Ref286413651"/>
      <w:r w:rsidRPr="0009387C">
        <w:rPr>
          <w:rFonts w:cs="Arial"/>
          <w:b/>
        </w:rPr>
        <w:t>Issue of Shares in the Continuing Fund</w:t>
      </w:r>
      <w:bookmarkEnd w:id="28"/>
    </w:p>
    <w:p w:rsidR="009E4D35" w:rsidRPr="0009387C" w:rsidRDefault="009E4D35" w:rsidP="000D64DC">
      <w:pPr>
        <w:pStyle w:val="ScheduleLevel2"/>
        <w:numPr>
          <w:ilvl w:val="3"/>
          <w:numId w:val="20"/>
        </w:numPr>
        <w:rPr>
          <w:rFonts w:cs="Arial"/>
        </w:rPr>
      </w:pPr>
      <w:r w:rsidRPr="0009387C">
        <w:rPr>
          <w:rFonts w:cs="Arial"/>
        </w:rPr>
        <w:t>The effect of the Scheme is to transfer the net assets of, and Unitholder entitlement in, the Discontinuing Fund to the Continuing Fund in accordance with the table below.  Upon completion of the Scheme, 100% of a Unitholder’s value will be represented by Shares.</w:t>
      </w:r>
    </w:p>
    <w:tbl>
      <w:tblPr>
        <w:tblW w:w="407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tblGrid>
      <w:tr w:rsidR="009E4D35" w:rsidRPr="0009387C" w:rsidTr="00B176C7">
        <w:tc>
          <w:tcPr>
            <w:tcW w:w="2035" w:type="dxa"/>
          </w:tcPr>
          <w:p w:rsidR="009E4D35" w:rsidRPr="0009387C" w:rsidRDefault="009E4D35" w:rsidP="0009387C">
            <w:pPr>
              <w:pStyle w:val="Body1"/>
              <w:adjustRightInd w:val="0"/>
              <w:ind w:left="0"/>
              <w:jc w:val="center"/>
              <w:rPr>
                <w:rFonts w:cs="Arial"/>
                <w:b/>
              </w:rPr>
            </w:pPr>
            <w:r w:rsidRPr="0009387C">
              <w:rPr>
                <w:rFonts w:cs="Arial"/>
                <w:b/>
              </w:rPr>
              <w:t>Discontinuing Fund’s Unit class</w:t>
            </w:r>
          </w:p>
        </w:tc>
        <w:tc>
          <w:tcPr>
            <w:tcW w:w="2035" w:type="dxa"/>
          </w:tcPr>
          <w:p w:rsidR="009E4D35" w:rsidRPr="0009387C" w:rsidRDefault="009E4D35" w:rsidP="008D692D">
            <w:pPr>
              <w:pStyle w:val="Body1"/>
              <w:adjustRightInd w:val="0"/>
              <w:ind w:left="0"/>
              <w:jc w:val="center"/>
              <w:rPr>
                <w:rFonts w:cs="Arial"/>
                <w:b/>
              </w:rPr>
            </w:pPr>
            <w:r w:rsidRPr="0009387C">
              <w:rPr>
                <w:rFonts w:cs="Arial"/>
                <w:b/>
              </w:rPr>
              <w:t>Continuing Fund’s Share class</w:t>
            </w:r>
          </w:p>
        </w:tc>
      </w:tr>
      <w:tr w:rsidR="009E4D35" w:rsidRPr="0009387C" w:rsidTr="00B176C7">
        <w:tc>
          <w:tcPr>
            <w:tcW w:w="2035" w:type="dxa"/>
          </w:tcPr>
          <w:p w:rsidR="009E4D35" w:rsidRPr="0009387C" w:rsidRDefault="009E4D35" w:rsidP="003A614D">
            <w:pPr>
              <w:pStyle w:val="Body1"/>
              <w:adjustRightInd w:val="0"/>
              <w:ind w:left="0"/>
              <w:jc w:val="left"/>
              <w:rPr>
                <w:rFonts w:cs="Arial"/>
              </w:rPr>
            </w:pPr>
            <w:r w:rsidRPr="0009387C">
              <w:rPr>
                <w:rFonts w:cs="Arial"/>
              </w:rPr>
              <w:t>Class A (GBP) Accumulation Units</w:t>
            </w:r>
          </w:p>
        </w:tc>
        <w:tc>
          <w:tcPr>
            <w:tcW w:w="2035" w:type="dxa"/>
          </w:tcPr>
          <w:p w:rsidR="009E4D35" w:rsidRPr="0009387C" w:rsidRDefault="003A614D" w:rsidP="008D692D">
            <w:pPr>
              <w:pStyle w:val="Body1"/>
              <w:adjustRightInd w:val="0"/>
              <w:ind w:left="0"/>
              <w:jc w:val="left"/>
              <w:rPr>
                <w:rFonts w:cs="Arial"/>
              </w:rPr>
            </w:pPr>
            <w:r>
              <w:rPr>
                <w:rFonts w:cs="Arial"/>
              </w:rPr>
              <w:t xml:space="preserve">Class </w:t>
            </w:r>
            <w:r w:rsidR="008D692D">
              <w:rPr>
                <w:rFonts w:cs="Arial"/>
              </w:rPr>
              <w:t>A Accumulation</w:t>
            </w:r>
          </w:p>
        </w:tc>
      </w:tr>
      <w:tr w:rsidR="003A614D" w:rsidRPr="0009387C" w:rsidTr="00B176C7">
        <w:tc>
          <w:tcPr>
            <w:tcW w:w="2035" w:type="dxa"/>
          </w:tcPr>
          <w:p w:rsidR="003A614D" w:rsidRDefault="003A614D" w:rsidP="003A614D">
            <w:pPr>
              <w:pStyle w:val="Body1"/>
              <w:adjustRightInd w:val="0"/>
              <w:ind w:left="0"/>
              <w:jc w:val="left"/>
              <w:rPr>
                <w:rFonts w:cs="Arial"/>
              </w:rPr>
            </w:pPr>
            <w:r w:rsidRPr="0009387C">
              <w:rPr>
                <w:rFonts w:cs="Arial"/>
              </w:rPr>
              <w:t xml:space="preserve">Class A (GBP) </w:t>
            </w:r>
            <w:r>
              <w:rPr>
                <w:rFonts w:cs="Arial"/>
              </w:rPr>
              <w:t>Income</w:t>
            </w:r>
            <w:r w:rsidRPr="0009387C">
              <w:rPr>
                <w:rFonts w:cs="Arial"/>
              </w:rPr>
              <w:t xml:space="preserve"> Units</w:t>
            </w:r>
          </w:p>
        </w:tc>
        <w:tc>
          <w:tcPr>
            <w:tcW w:w="2035" w:type="dxa"/>
          </w:tcPr>
          <w:p w:rsidR="003A614D" w:rsidRDefault="003A614D" w:rsidP="008D692D">
            <w:pPr>
              <w:pStyle w:val="Body1"/>
              <w:adjustRightInd w:val="0"/>
              <w:ind w:left="0"/>
              <w:jc w:val="left"/>
              <w:rPr>
                <w:rFonts w:cs="Arial"/>
              </w:rPr>
            </w:pPr>
            <w:r>
              <w:rPr>
                <w:rFonts w:cs="Arial"/>
              </w:rPr>
              <w:t xml:space="preserve">Class </w:t>
            </w:r>
            <w:r w:rsidR="008D692D">
              <w:rPr>
                <w:rFonts w:cs="Arial"/>
              </w:rPr>
              <w:t>A Income</w:t>
            </w:r>
          </w:p>
        </w:tc>
      </w:tr>
      <w:tr w:rsidR="003A614D" w:rsidRPr="0009387C" w:rsidTr="00B176C7">
        <w:tc>
          <w:tcPr>
            <w:tcW w:w="2035" w:type="dxa"/>
          </w:tcPr>
          <w:p w:rsidR="003A614D" w:rsidRDefault="003A614D" w:rsidP="003A614D">
            <w:pPr>
              <w:pStyle w:val="Body1"/>
              <w:adjustRightInd w:val="0"/>
              <w:ind w:left="0"/>
              <w:jc w:val="left"/>
              <w:rPr>
                <w:rFonts w:cs="Arial"/>
              </w:rPr>
            </w:pPr>
            <w:r w:rsidRPr="0009387C">
              <w:rPr>
                <w:rFonts w:cs="Arial"/>
              </w:rPr>
              <w:t xml:space="preserve">Class </w:t>
            </w:r>
            <w:r>
              <w:rPr>
                <w:rFonts w:cs="Arial"/>
              </w:rPr>
              <w:t>R</w:t>
            </w:r>
            <w:r w:rsidRPr="0009387C">
              <w:rPr>
                <w:rFonts w:cs="Arial"/>
              </w:rPr>
              <w:t xml:space="preserve"> (GBP) </w:t>
            </w:r>
            <w:r>
              <w:rPr>
                <w:rFonts w:cs="Arial"/>
              </w:rPr>
              <w:t>Income</w:t>
            </w:r>
            <w:r w:rsidRPr="0009387C">
              <w:rPr>
                <w:rFonts w:cs="Arial"/>
              </w:rPr>
              <w:t xml:space="preserve"> Units</w:t>
            </w:r>
          </w:p>
        </w:tc>
        <w:tc>
          <w:tcPr>
            <w:tcW w:w="2035" w:type="dxa"/>
          </w:tcPr>
          <w:p w:rsidR="003A614D" w:rsidRDefault="003A614D" w:rsidP="008D692D">
            <w:pPr>
              <w:pStyle w:val="Body1"/>
              <w:adjustRightInd w:val="0"/>
              <w:ind w:left="0"/>
              <w:jc w:val="left"/>
              <w:rPr>
                <w:rFonts w:cs="Arial"/>
              </w:rPr>
            </w:pPr>
            <w:r>
              <w:rPr>
                <w:rFonts w:cs="Arial"/>
              </w:rPr>
              <w:t xml:space="preserve">Class </w:t>
            </w:r>
            <w:r w:rsidR="008D692D">
              <w:rPr>
                <w:rFonts w:cs="Arial"/>
              </w:rPr>
              <w:t>I Income</w:t>
            </w:r>
          </w:p>
        </w:tc>
      </w:tr>
      <w:tr w:rsidR="003A614D" w:rsidRPr="0009387C" w:rsidTr="00B176C7">
        <w:tc>
          <w:tcPr>
            <w:tcW w:w="2035" w:type="dxa"/>
          </w:tcPr>
          <w:p w:rsidR="003A614D" w:rsidRDefault="003A614D" w:rsidP="003A614D">
            <w:pPr>
              <w:pStyle w:val="Body1"/>
              <w:adjustRightInd w:val="0"/>
              <w:ind w:left="0"/>
              <w:jc w:val="left"/>
              <w:rPr>
                <w:rFonts w:cs="Arial"/>
              </w:rPr>
            </w:pPr>
            <w:r w:rsidRPr="0009387C">
              <w:rPr>
                <w:rFonts w:cs="Arial"/>
              </w:rPr>
              <w:t xml:space="preserve">Class </w:t>
            </w:r>
            <w:r>
              <w:rPr>
                <w:rFonts w:cs="Arial"/>
              </w:rPr>
              <w:t>S</w:t>
            </w:r>
            <w:r w:rsidRPr="0009387C">
              <w:rPr>
                <w:rFonts w:cs="Arial"/>
              </w:rPr>
              <w:t xml:space="preserve"> (GBP) </w:t>
            </w:r>
            <w:r>
              <w:rPr>
                <w:rFonts w:cs="Arial"/>
              </w:rPr>
              <w:t>Income</w:t>
            </w:r>
            <w:r w:rsidRPr="0009387C">
              <w:rPr>
                <w:rFonts w:cs="Arial"/>
              </w:rPr>
              <w:t xml:space="preserve"> Units</w:t>
            </w:r>
          </w:p>
        </w:tc>
        <w:tc>
          <w:tcPr>
            <w:tcW w:w="2035" w:type="dxa"/>
          </w:tcPr>
          <w:p w:rsidR="003A614D" w:rsidRDefault="003A614D" w:rsidP="008D692D">
            <w:pPr>
              <w:pStyle w:val="Body1"/>
              <w:adjustRightInd w:val="0"/>
              <w:ind w:left="0"/>
              <w:jc w:val="left"/>
              <w:rPr>
                <w:rFonts w:cs="Arial"/>
              </w:rPr>
            </w:pPr>
            <w:r>
              <w:rPr>
                <w:rFonts w:cs="Arial"/>
              </w:rPr>
              <w:t xml:space="preserve">Class </w:t>
            </w:r>
            <w:r w:rsidR="008D692D">
              <w:rPr>
                <w:rFonts w:cs="Arial"/>
              </w:rPr>
              <w:t>I Income</w:t>
            </w:r>
          </w:p>
        </w:tc>
      </w:tr>
      <w:tr w:rsidR="003A614D" w:rsidRPr="0009387C" w:rsidTr="00B176C7">
        <w:tc>
          <w:tcPr>
            <w:tcW w:w="2035" w:type="dxa"/>
          </w:tcPr>
          <w:p w:rsidR="003A614D" w:rsidRDefault="003A614D" w:rsidP="003A614D">
            <w:pPr>
              <w:pStyle w:val="Body1"/>
              <w:adjustRightInd w:val="0"/>
              <w:ind w:left="0"/>
              <w:jc w:val="left"/>
              <w:rPr>
                <w:rFonts w:cs="Arial"/>
              </w:rPr>
            </w:pPr>
            <w:r w:rsidRPr="0009387C">
              <w:rPr>
                <w:rFonts w:cs="Arial"/>
              </w:rPr>
              <w:t xml:space="preserve">Class </w:t>
            </w:r>
            <w:r>
              <w:rPr>
                <w:rFonts w:cs="Arial"/>
              </w:rPr>
              <w:t>U1</w:t>
            </w:r>
            <w:r w:rsidRPr="0009387C">
              <w:rPr>
                <w:rFonts w:cs="Arial"/>
              </w:rPr>
              <w:t xml:space="preserve"> (GBP) </w:t>
            </w:r>
            <w:r>
              <w:rPr>
                <w:rFonts w:cs="Arial"/>
              </w:rPr>
              <w:t>Income</w:t>
            </w:r>
            <w:r w:rsidRPr="0009387C">
              <w:rPr>
                <w:rFonts w:cs="Arial"/>
              </w:rPr>
              <w:t xml:space="preserve"> Units</w:t>
            </w:r>
          </w:p>
        </w:tc>
        <w:tc>
          <w:tcPr>
            <w:tcW w:w="2035" w:type="dxa"/>
          </w:tcPr>
          <w:p w:rsidR="003A614D" w:rsidRDefault="003A614D" w:rsidP="008D692D">
            <w:pPr>
              <w:pStyle w:val="Body1"/>
              <w:adjustRightInd w:val="0"/>
              <w:ind w:left="0"/>
              <w:jc w:val="left"/>
              <w:rPr>
                <w:rFonts w:cs="Arial"/>
              </w:rPr>
            </w:pPr>
            <w:r>
              <w:rPr>
                <w:rFonts w:cs="Arial"/>
              </w:rPr>
              <w:t xml:space="preserve">Class </w:t>
            </w:r>
            <w:r w:rsidR="008D692D">
              <w:rPr>
                <w:rFonts w:cs="Arial"/>
              </w:rPr>
              <w:t>I Income</w:t>
            </w:r>
          </w:p>
        </w:tc>
      </w:tr>
      <w:tr w:rsidR="003A614D" w:rsidRPr="0009387C" w:rsidTr="00B176C7">
        <w:tc>
          <w:tcPr>
            <w:tcW w:w="2035" w:type="dxa"/>
          </w:tcPr>
          <w:p w:rsidR="003A614D" w:rsidRDefault="003A614D" w:rsidP="003A614D">
            <w:pPr>
              <w:pStyle w:val="Body1"/>
              <w:adjustRightInd w:val="0"/>
              <w:ind w:left="0"/>
              <w:jc w:val="left"/>
              <w:rPr>
                <w:rFonts w:cs="Arial"/>
              </w:rPr>
            </w:pPr>
            <w:r w:rsidRPr="0009387C">
              <w:rPr>
                <w:rFonts w:cs="Arial"/>
              </w:rPr>
              <w:t xml:space="preserve">Class </w:t>
            </w:r>
            <w:r>
              <w:rPr>
                <w:rFonts w:cs="Arial"/>
              </w:rPr>
              <w:t>U1</w:t>
            </w:r>
            <w:r w:rsidRPr="0009387C">
              <w:rPr>
                <w:rFonts w:cs="Arial"/>
              </w:rPr>
              <w:t xml:space="preserve"> (GBP) Accumulation Units</w:t>
            </w:r>
          </w:p>
        </w:tc>
        <w:tc>
          <w:tcPr>
            <w:tcW w:w="2035" w:type="dxa"/>
          </w:tcPr>
          <w:p w:rsidR="003A614D" w:rsidRDefault="003A614D" w:rsidP="004C1170">
            <w:pPr>
              <w:pStyle w:val="Body1"/>
              <w:adjustRightInd w:val="0"/>
              <w:ind w:left="0"/>
              <w:jc w:val="left"/>
              <w:rPr>
                <w:rFonts w:cs="Arial"/>
              </w:rPr>
            </w:pPr>
            <w:r>
              <w:rPr>
                <w:rFonts w:cs="Arial"/>
              </w:rPr>
              <w:t xml:space="preserve">Class </w:t>
            </w:r>
            <w:r w:rsidR="008D692D">
              <w:rPr>
                <w:rFonts w:cs="Arial"/>
              </w:rPr>
              <w:t xml:space="preserve">I </w:t>
            </w:r>
            <w:r w:rsidR="004C1170">
              <w:rPr>
                <w:rFonts w:cs="Arial"/>
              </w:rPr>
              <w:t>Accumulation</w:t>
            </w:r>
          </w:p>
        </w:tc>
      </w:tr>
      <w:tr w:rsidR="003A614D" w:rsidRPr="0009387C" w:rsidTr="00B176C7">
        <w:tc>
          <w:tcPr>
            <w:tcW w:w="2035" w:type="dxa"/>
          </w:tcPr>
          <w:p w:rsidR="003A614D" w:rsidRDefault="003A614D" w:rsidP="00EE2615">
            <w:pPr>
              <w:pStyle w:val="Body1"/>
              <w:adjustRightInd w:val="0"/>
              <w:ind w:left="0"/>
              <w:jc w:val="left"/>
              <w:rPr>
                <w:rFonts w:cs="Arial"/>
              </w:rPr>
            </w:pPr>
            <w:r w:rsidRPr="0009387C">
              <w:rPr>
                <w:rFonts w:cs="Arial"/>
              </w:rPr>
              <w:t xml:space="preserve">Class </w:t>
            </w:r>
            <w:r>
              <w:rPr>
                <w:rFonts w:cs="Arial"/>
              </w:rPr>
              <w:t>U2</w:t>
            </w:r>
            <w:r w:rsidRPr="0009387C">
              <w:rPr>
                <w:rFonts w:cs="Arial"/>
              </w:rPr>
              <w:t xml:space="preserve"> (GBP) </w:t>
            </w:r>
            <w:r>
              <w:rPr>
                <w:rFonts w:cs="Arial"/>
              </w:rPr>
              <w:t>Income</w:t>
            </w:r>
            <w:r w:rsidRPr="0009387C">
              <w:rPr>
                <w:rFonts w:cs="Arial"/>
              </w:rPr>
              <w:t xml:space="preserve"> Units</w:t>
            </w:r>
          </w:p>
        </w:tc>
        <w:tc>
          <w:tcPr>
            <w:tcW w:w="2035" w:type="dxa"/>
          </w:tcPr>
          <w:p w:rsidR="003A614D" w:rsidRDefault="003A614D" w:rsidP="008D692D">
            <w:pPr>
              <w:pStyle w:val="Body1"/>
              <w:adjustRightInd w:val="0"/>
              <w:ind w:left="0"/>
              <w:jc w:val="left"/>
              <w:rPr>
                <w:rFonts w:cs="Arial"/>
              </w:rPr>
            </w:pPr>
            <w:r>
              <w:rPr>
                <w:rFonts w:cs="Arial"/>
              </w:rPr>
              <w:t xml:space="preserve">Class </w:t>
            </w:r>
            <w:r w:rsidR="008D692D">
              <w:rPr>
                <w:rFonts w:cs="Arial"/>
              </w:rPr>
              <w:t>U2 Income</w:t>
            </w:r>
          </w:p>
        </w:tc>
      </w:tr>
      <w:tr w:rsidR="003A614D" w:rsidRPr="0009387C" w:rsidTr="00B176C7">
        <w:tc>
          <w:tcPr>
            <w:tcW w:w="2035" w:type="dxa"/>
          </w:tcPr>
          <w:p w:rsidR="003A614D" w:rsidRDefault="003A614D" w:rsidP="00EE2615">
            <w:pPr>
              <w:pStyle w:val="Body1"/>
              <w:adjustRightInd w:val="0"/>
              <w:ind w:left="0"/>
              <w:jc w:val="left"/>
              <w:rPr>
                <w:rFonts w:cs="Arial"/>
              </w:rPr>
            </w:pPr>
            <w:r w:rsidRPr="0009387C">
              <w:rPr>
                <w:rFonts w:cs="Arial"/>
              </w:rPr>
              <w:t xml:space="preserve">Class </w:t>
            </w:r>
            <w:r>
              <w:rPr>
                <w:rFonts w:cs="Arial"/>
              </w:rPr>
              <w:t>U2</w:t>
            </w:r>
            <w:r w:rsidRPr="0009387C">
              <w:rPr>
                <w:rFonts w:cs="Arial"/>
              </w:rPr>
              <w:t xml:space="preserve"> (GBP) Accumulation Units</w:t>
            </w:r>
          </w:p>
        </w:tc>
        <w:tc>
          <w:tcPr>
            <w:tcW w:w="2035" w:type="dxa"/>
          </w:tcPr>
          <w:p w:rsidR="003A614D" w:rsidRDefault="003A614D" w:rsidP="008D692D">
            <w:pPr>
              <w:pStyle w:val="Body1"/>
              <w:adjustRightInd w:val="0"/>
              <w:ind w:left="0"/>
              <w:jc w:val="left"/>
              <w:rPr>
                <w:rFonts w:cs="Arial"/>
              </w:rPr>
            </w:pPr>
            <w:r>
              <w:rPr>
                <w:rFonts w:cs="Arial"/>
              </w:rPr>
              <w:t xml:space="preserve">Class </w:t>
            </w:r>
            <w:r w:rsidR="008D692D">
              <w:rPr>
                <w:rFonts w:cs="Arial"/>
              </w:rPr>
              <w:t>U2 Accumulation</w:t>
            </w:r>
          </w:p>
        </w:tc>
      </w:tr>
    </w:tbl>
    <w:p w:rsidR="009E4D35" w:rsidRPr="0009387C" w:rsidRDefault="009E4D35" w:rsidP="0009387C">
      <w:pPr>
        <w:pStyle w:val="Body2"/>
        <w:spacing w:after="0"/>
        <w:rPr>
          <w:rFonts w:cs="Arial"/>
        </w:rPr>
      </w:pPr>
    </w:p>
    <w:p w:rsidR="009E4D35" w:rsidRPr="0009387C" w:rsidRDefault="009E4D35" w:rsidP="008634EC">
      <w:pPr>
        <w:pStyle w:val="ScheduleLevel2"/>
        <w:numPr>
          <w:ilvl w:val="3"/>
          <w:numId w:val="20"/>
        </w:numPr>
      </w:pPr>
      <w:r w:rsidRPr="0009387C">
        <w:t>As at and from the Effective Date, National Westminster Bank Plc will cease to hold the capital property of the Discontinuing Fund less the Retained Amount (the “</w:t>
      </w:r>
      <w:r w:rsidRPr="0009387C">
        <w:rPr>
          <w:b/>
          <w:bCs/>
          <w:iCs/>
        </w:rPr>
        <w:t>Transferred Property</w:t>
      </w:r>
      <w:r w:rsidRPr="0009387C">
        <w:rPr>
          <w:bCs/>
          <w:iCs/>
        </w:rPr>
        <w:t>”</w:t>
      </w:r>
      <w:r w:rsidRPr="0009387C">
        <w:t xml:space="preserve">) in its capacity as </w:t>
      </w:r>
      <w:r w:rsidRPr="0009387C">
        <w:rPr>
          <w:rFonts w:cs="Arial"/>
        </w:rPr>
        <w:t xml:space="preserve">Trustee </w:t>
      </w:r>
      <w:r w:rsidRPr="0009387C">
        <w:t xml:space="preserve">of the Discontinuing Fund and National Westminster Bank Plc shall hold it as scheme property of the Continuing Fund freed and discharged from the provisions set out in the Incorporation Documentation of the Discontinuing Fund, in its capacity as Depositary of the Continuing Fund.  </w:t>
      </w:r>
      <w:r w:rsidRPr="0009387C">
        <w:rPr>
          <w:rFonts w:cs="Arial"/>
        </w:rPr>
        <w:t xml:space="preserve">National Westminster Bank Plc </w:t>
      </w:r>
      <w:r w:rsidRPr="0009387C">
        <w:t xml:space="preserve">will make or ensure the making of any transfers or re-designations which may be necessary as a result of its ceasing to hold the Transferred Property as the </w:t>
      </w:r>
      <w:r w:rsidRPr="0009387C">
        <w:rPr>
          <w:rFonts w:cs="Arial"/>
        </w:rPr>
        <w:t xml:space="preserve">Trustee </w:t>
      </w:r>
      <w:r w:rsidRPr="0009387C">
        <w:t xml:space="preserve">of the Discontinuing Fund.  The Transferred Property will be full payment for the Shares issued to existing </w:t>
      </w:r>
      <w:r w:rsidRPr="0009387C">
        <w:rPr>
          <w:rFonts w:cs="Arial"/>
        </w:rPr>
        <w:t>Unit</w:t>
      </w:r>
      <w:r w:rsidRPr="0009387C">
        <w:t xml:space="preserve">holders, who will be treated as exchanging their </w:t>
      </w:r>
      <w:r w:rsidRPr="0009387C">
        <w:rPr>
          <w:rFonts w:cs="Arial"/>
        </w:rPr>
        <w:t xml:space="preserve">Units </w:t>
      </w:r>
      <w:r w:rsidR="00E84A4B">
        <w:t xml:space="preserve">for Shares.  </w:t>
      </w:r>
    </w:p>
    <w:p w:rsidR="009E4D35" w:rsidRPr="0009387C" w:rsidRDefault="009E4D35" w:rsidP="000D64DC">
      <w:pPr>
        <w:pStyle w:val="ScheduleLevel2"/>
        <w:numPr>
          <w:ilvl w:val="3"/>
          <w:numId w:val="20"/>
        </w:numPr>
        <w:rPr>
          <w:rFonts w:cs="Arial"/>
        </w:rPr>
      </w:pPr>
      <w:r w:rsidRPr="0009387C">
        <w:rPr>
          <w:rFonts w:cs="Arial"/>
        </w:rPr>
        <w:t xml:space="preserve">As at the Effective Date every Unit in the Discontinuing Fund shall be deemed to have been cancelled except to the extent necessary to implement the provisions of this Scheme relating to allocation of income, and the ACD shall issue the appropriate number of Shares to be issued to the persons registered in the register of Unitholders in the Discontinuing </w:t>
      </w:r>
      <w:r w:rsidRPr="0009387C">
        <w:rPr>
          <w:rFonts w:cs="Arial"/>
        </w:rPr>
        <w:lastRenderedPageBreak/>
        <w:t>Fund as at the Effective Date (including the ACD in respect of any Shares in the Discontinuing Fund to which it is entitled).</w:t>
      </w:r>
    </w:p>
    <w:p w:rsidR="009E4D35" w:rsidRPr="0009387C" w:rsidRDefault="009E4D35" w:rsidP="00DB4206">
      <w:pPr>
        <w:pStyle w:val="ScheduleLevel2"/>
        <w:numPr>
          <w:ilvl w:val="3"/>
          <w:numId w:val="20"/>
        </w:numPr>
        <w:rPr>
          <w:rFonts w:cs="Arial"/>
        </w:rPr>
      </w:pPr>
      <w:r w:rsidRPr="0009387C">
        <w:rPr>
          <w:rFonts w:cs="Arial"/>
        </w:rPr>
        <w:t>The total number of Shares to be created and issued pursuant to this Scheme to Unitholders shall be calculated by dividing the aggregate value of Units less any income accrued by the aggregate value of Shares in the relevant Share class in the Continuing Fund and multiplying the result by the number of Shares in the Continuing Fund in issue or deemed to be in issue at the Effective Date (the “</w:t>
      </w:r>
      <w:r w:rsidRPr="0009387C">
        <w:rPr>
          <w:rFonts w:cs="Arial"/>
          <w:b/>
        </w:rPr>
        <w:t>Total</w:t>
      </w:r>
      <w:r w:rsidRPr="0009387C">
        <w:rPr>
          <w:rFonts w:cs="Arial"/>
        </w:rPr>
        <w:t xml:space="preserve">”). </w:t>
      </w:r>
      <w:r w:rsidR="00DB4206">
        <w:rPr>
          <w:rFonts w:cs="Arial"/>
        </w:rPr>
        <w:t xml:space="preserve"> Unitholde</w:t>
      </w:r>
      <w:r w:rsidR="00A24CFD">
        <w:rPr>
          <w:rFonts w:cs="Arial"/>
        </w:rPr>
        <w:t>r</w:t>
      </w:r>
      <w:r w:rsidR="00DB4206">
        <w:rPr>
          <w:rFonts w:cs="Arial"/>
        </w:rPr>
        <w:t>s should note the minimum holding, subsequent investment and minimum withdrawal requirements on the Continuing Fund.  The minimum investment and holding limits will not be applied in respect of the Scheme but will apply ther</w:t>
      </w:r>
      <w:r w:rsidR="00A24CFD">
        <w:rPr>
          <w:rFonts w:cs="Arial"/>
        </w:rPr>
        <w:t>e</w:t>
      </w:r>
      <w:r w:rsidR="00DB4206">
        <w:rPr>
          <w:rFonts w:cs="Arial"/>
        </w:rPr>
        <w:t>after.</w:t>
      </w:r>
    </w:p>
    <w:p w:rsidR="009E4D35" w:rsidRPr="0009387C" w:rsidRDefault="009E4D35" w:rsidP="000D64DC">
      <w:pPr>
        <w:pStyle w:val="ScheduleLevel2"/>
        <w:numPr>
          <w:ilvl w:val="3"/>
          <w:numId w:val="20"/>
        </w:numPr>
        <w:rPr>
          <w:rFonts w:cs="Arial"/>
        </w:rPr>
      </w:pPr>
      <w:r w:rsidRPr="0009387C">
        <w:rPr>
          <w:rFonts w:cs="Arial"/>
        </w:rPr>
        <w:t>The number of Shares to be issued to each Unitholder shall be the same proportion to the Total as that proportion of Units held or deemed to be held by such holder in relation to the total number of Units in issue or deemed to be in issue at the Effective Date.</w:t>
      </w:r>
    </w:p>
    <w:p w:rsidR="009E4D35" w:rsidRPr="0009387C" w:rsidRDefault="009E4D35" w:rsidP="000D64DC">
      <w:pPr>
        <w:pStyle w:val="ScheduleLevel2"/>
        <w:numPr>
          <w:ilvl w:val="3"/>
          <w:numId w:val="20"/>
        </w:numPr>
        <w:rPr>
          <w:rFonts w:cs="Arial"/>
        </w:rPr>
      </w:pPr>
      <w:r w:rsidRPr="0009387C">
        <w:rPr>
          <w:rFonts w:cs="Arial"/>
        </w:rPr>
        <w:t>The ACD shall not be entitled to receive any preliminary charge in respect of Shares issued pursuant to this Scheme.</w:t>
      </w:r>
    </w:p>
    <w:p w:rsidR="009E4D35" w:rsidRPr="0009387C" w:rsidRDefault="009E4D35" w:rsidP="000D64DC">
      <w:pPr>
        <w:pStyle w:val="ScheduleLevel1"/>
        <w:keepNext/>
        <w:numPr>
          <w:ilvl w:val="2"/>
          <w:numId w:val="20"/>
        </w:numPr>
        <w:rPr>
          <w:rFonts w:cs="Arial"/>
          <w:b/>
        </w:rPr>
      </w:pPr>
      <w:r w:rsidRPr="0009387C">
        <w:rPr>
          <w:rFonts w:cs="Arial"/>
          <w:b/>
        </w:rPr>
        <w:t>Notification to Unitholders of Shares issued under the Scheme</w:t>
      </w:r>
    </w:p>
    <w:p w:rsidR="009E4D35" w:rsidRPr="0009387C" w:rsidRDefault="009E4D35" w:rsidP="000D64DC">
      <w:pPr>
        <w:pStyle w:val="ScheduleLevel2"/>
        <w:numPr>
          <w:ilvl w:val="3"/>
          <w:numId w:val="20"/>
        </w:numPr>
        <w:rPr>
          <w:rFonts w:cs="Arial"/>
        </w:rPr>
      </w:pPr>
      <w:r w:rsidRPr="0009387C">
        <w:rPr>
          <w:rFonts w:cs="Arial"/>
        </w:rPr>
        <w:t>Letters providing details of the Shares issued under this Scheme to former Unitholders in the Discontinuing Fund shall be sent to such Unitholders (or in the case of joint holders to the first named of such holders on the Register of Unitholders) at their respective addresses registered in the Register of Unitholders in the Discontinuing Fund</w:t>
      </w:r>
      <w:r w:rsidR="00DB4206">
        <w:rPr>
          <w:rFonts w:cs="Arial"/>
        </w:rPr>
        <w:t xml:space="preserve"> within 14 days of the Effective Date</w:t>
      </w:r>
      <w:r w:rsidRPr="0009387C">
        <w:rPr>
          <w:rFonts w:cs="Arial"/>
        </w:rPr>
        <w:t xml:space="preserve">. </w:t>
      </w:r>
    </w:p>
    <w:p w:rsidR="009E4D35" w:rsidRPr="0009387C" w:rsidRDefault="009E4D35" w:rsidP="000D64DC">
      <w:pPr>
        <w:pStyle w:val="ScheduleLevel2"/>
        <w:numPr>
          <w:ilvl w:val="3"/>
          <w:numId w:val="20"/>
        </w:numPr>
        <w:rPr>
          <w:rFonts w:cs="Arial"/>
        </w:rPr>
      </w:pPr>
      <w:r w:rsidRPr="0009387C">
        <w:rPr>
          <w:rFonts w:cs="Arial"/>
        </w:rPr>
        <w:t>Transfers or repurchases of Shares may be effected after the Effective Date in accordance with the Prospectus of the Continuing Fund.</w:t>
      </w:r>
    </w:p>
    <w:p w:rsidR="009E4D35" w:rsidRPr="0009387C" w:rsidRDefault="009E4D35" w:rsidP="000D64DC">
      <w:pPr>
        <w:pStyle w:val="ScheduleLevel1"/>
        <w:keepNext/>
        <w:numPr>
          <w:ilvl w:val="2"/>
          <w:numId w:val="20"/>
        </w:numPr>
        <w:rPr>
          <w:rFonts w:cs="Arial"/>
          <w:b/>
        </w:rPr>
      </w:pPr>
      <w:r w:rsidRPr="0009387C">
        <w:rPr>
          <w:rFonts w:cs="Arial"/>
          <w:b/>
        </w:rPr>
        <w:t>Instructions</w:t>
      </w:r>
    </w:p>
    <w:p w:rsidR="009E4D35" w:rsidRPr="0009387C" w:rsidRDefault="009E4D35" w:rsidP="00DB4206">
      <w:pPr>
        <w:pStyle w:val="Body1"/>
        <w:rPr>
          <w:rFonts w:cs="Arial"/>
        </w:rPr>
      </w:pPr>
      <w:r w:rsidRPr="0009387C">
        <w:rPr>
          <w:rFonts w:cs="Arial"/>
        </w:rPr>
        <w:t>Any mandates and other instructions to the Manager in force on the Effective Date relating to Units in the Discontinuing Fund shall be deemed by the ACD from the Effective Date to be effective mandates and instructions in respect of the Shares issued pursuant to this Scheme in the Continuing Fund.</w:t>
      </w:r>
      <w:r w:rsidR="00DB4206">
        <w:rPr>
          <w:rFonts w:cs="Arial"/>
        </w:rPr>
        <w:t xml:space="preserve">  Further details are available from the ACD (contact details are shown in Part 1 of this document)</w:t>
      </w:r>
      <w:r w:rsidR="004E385F">
        <w:rPr>
          <w:rFonts w:cs="Arial"/>
        </w:rPr>
        <w:t>.</w:t>
      </w:r>
    </w:p>
    <w:p w:rsidR="009E4D35" w:rsidRPr="0009387C" w:rsidRDefault="00526AF0" w:rsidP="000D64DC">
      <w:pPr>
        <w:pStyle w:val="ScheduleLevel1"/>
        <w:keepNext/>
        <w:numPr>
          <w:ilvl w:val="2"/>
          <w:numId w:val="20"/>
        </w:numPr>
        <w:rPr>
          <w:rFonts w:cs="Arial"/>
          <w:b/>
        </w:rPr>
      </w:pPr>
      <w:r>
        <w:rPr>
          <w:rFonts w:cs="Arial"/>
          <w:b/>
        </w:rPr>
        <w:t>Winding up</w:t>
      </w:r>
      <w:r w:rsidRPr="0009387C">
        <w:rPr>
          <w:rFonts w:cs="Arial"/>
          <w:b/>
        </w:rPr>
        <w:t xml:space="preserve"> </w:t>
      </w:r>
      <w:r w:rsidR="009E4D35" w:rsidRPr="0009387C">
        <w:rPr>
          <w:rFonts w:cs="Arial"/>
          <w:b/>
        </w:rPr>
        <w:t xml:space="preserve">of the Discontinuing Fund </w:t>
      </w:r>
    </w:p>
    <w:p w:rsidR="009E4D35" w:rsidRPr="0009387C" w:rsidRDefault="009E4D35" w:rsidP="00526AF0">
      <w:pPr>
        <w:pStyle w:val="ScheduleLevel2"/>
        <w:numPr>
          <w:ilvl w:val="3"/>
          <w:numId w:val="20"/>
        </w:numPr>
        <w:rPr>
          <w:rFonts w:cs="Arial"/>
        </w:rPr>
      </w:pPr>
      <w:r w:rsidRPr="0009387C">
        <w:rPr>
          <w:rFonts w:cs="Arial"/>
        </w:rPr>
        <w:t xml:space="preserve">The Manager will proceed to </w:t>
      </w:r>
      <w:r w:rsidR="00526AF0">
        <w:rPr>
          <w:rFonts w:cs="Arial"/>
        </w:rPr>
        <w:t xml:space="preserve">wind up </w:t>
      </w:r>
      <w:r w:rsidRPr="0009387C">
        <w:rPr>
          <w:rFonts w:cs="Arial"/>
        </w:rPr>
        <w:t xml:space="preserve">the Discontinuing Fund in accordance with the Regulations </w:t>
      </w:r>
      <w:r w:rsidR="003A19A5">
        <w:rPr>
          <w:rFonts w:cs="Arial"/>
        </w:rPr>
        <w:t>on</w:t>
      </w:r>
      <w:r w:rsidRPr="0009387C">
        <w:rPr>
          <w:rFonts w:cs="Arial"/>
        </w:rPr>
        <w:t xml:space="preserve"> the Effective Date. </w:t>
      </w:r>
    </w:p>
    <w:p w:rsidR="009E4D35" w:rsidRPr="0009387C" w:rsidRDefault="009E4D35" w:rsidP="000D64DC">
      <w:pPr>
        <w:pStyle w:val="ScheduleLevel2"/>
        <w:numPr>
          <w:ilvl w:val="3"/>
          <w:numId w:val="20"/>
        </w:numPr>
        <w:rPr>
          <w:rFonts w:cs="Arial"/>
        </w:rPr>
      </w:pPr>
      <w:r w:rsidRPr="0009387C">
        <w:rPr>
          <w:rFonts w:cs="Arial"/>
        </w:rPr>
        <w:t xml:space="preserve">The Retained Amount (which will be made up of cash and other assets, if necessary) and income arising on it, will be used by the Trustee to pay outstanding liabilities of the Discontinuing Fund in accordance with the provisions of this Scheme, the Incorporation Documentation, the </w:t>
      </w:r>
      <w:bookmarkStart w:id="29" w:name="_DV_M163"/>
      <w:bookmarkEnd w:id="29"/>
      <w:r w:rsidRPr="0009387C">
        <w:rPr>
          <w:rFonts w:cs="Arial"/>
        </w:rPr>
        <w:t>Prospectus</w:t>
      </w:r>
      <w:bookmarkStart w:id="30" w:name="_DV_M164"/>
      <w:bookmarkEnd w:id="30"/>
      <w:r w:rsidRPr="0009387C">
        <w:rPr>
          <w:rFonts w:cs="Arial"/>
        </w:rPr>
        <w:t xml:space="preserve"> and the Regulations.</w:t>
      </w:r>
      <w:bookmarkStart w:id="31" w:name="_DV_M165"/>
      <w:bookmarkEnd w:id="31"/>
    </w:p>
    <w:p w:rsidR="009E4D35" w:rsidRPr="0009387C" w:rsidRDefault="009E4D35" w:rsidP="00526AF0">
      <w:pPr>
        <w:pStyle w:val="ScheduleLevel2"/>
        <w:numPr>
          <w:ilvl w:val="3"/>
          <w:numId w:val="20"/>
        </w:numPr>
        <w:rPr>
          <w:szCs w:val="18"/>
        </w:rPr>
      </w:pPr>
      <w:r w:rsidRPr="0009387C">
        <w:t xml:space="preserve">If, on the completion of the </w:t>
      </w:r>
      <w:r w:rsidR="00526AF0">
        <w:t>wind up</w:t>
      </w:r>
      <w:r w:rsidRPr="0009387C">
        <w:t xml:space="preserve">, there are any surplus monies remaining in the Discontinuing Fund, they, together with any income arising therefrom, shall be transferred to the Continuing Fund.  No further issue of Shares shall be made as a result.  </w:t>
      </w:r>
      <w:r w:rsidRPr="0009387C">
        <w:rPr>
          <w:rFonts w:cs="Arial"/>
        </w:rPr>
        <w:t>National Westminster Bank Plc</w:t>
      </w:r>
      <w:r w:rsidRPr="0009387C">
        <w:t xml:space="preserve"> shall cease to hold the Retained Amount in its capacity as </w:t>
      </w:r>
      <w:r w:rsidRPr="0009387C">
        <w:rPr>
          <w:rFonts w:cs="Arial"/>
        </w:rPr>
        <w:t xml:space="preserve">Trustee </w:t>
      </w:r>
      <w:r w:rsidRPr="0009387C">
        <w:t xml:space="preserve">of the Discontinuing Fund and National Westminster Bank Plc shall instead hold it in its capacity as Depositary of the Continuing Fund freed and discharged from the provisions set out in the Instrument of Incorporation.  The Depositary shall make such transfers and </w:t>
      </w:r>
      <w:r w:rsidR="00BE2139">
        <w:br/>
      </w:r>
      <w:r w:rsidRPr="0009387C">
        <w:t>re-designations as may be necessary as a result.</w:t>
      </w:r>
      <w:bookmarkStart w:id="32" w:name="_DV_M166"/>
      <w:bookmarkEnd w:id="32"/>
    </w:p>
    <w:p w:rsidR="009E4D35" w:rsidRPr="0009387C" w:rsidRDefault="009E4D35" w:rsidP="000D64DC">
      <w:pPr>
        <w:pStyle w:val="ScheduleLevel2"/>
        <w:numPr>
          <w:ilvl w:val="3"/>
          <w:numId w:val="20"/>
        </w:numPr>
        <w:rPr>
          <w:rFonts w:cs="Arial"/>
        </w:rPr>
      </w:pPr>
      <w:r w:rsidRPr="0009387C">
        <w:rPr>
          <w:rFonts w:cs="Arial"/>
        </w:rPr>
        <w:t xml:space="preserve">If the Retained Amount is insufficient to pay off all the liabilities of the Discontinuing Fund then the Manager shall discharge the shortfall (or if the Trustee is liable to meet such liabilities, put the Trustee in funds to discharge such liabilities) and indemnify the Trustee in respect thereof, unless the Manager shall be satisfied and confirm to the Trustee that proper </w:t>
      </w:r>
      <w:r w:rsidRPr="0009387C">
        <w:rPr>
          <w:rFonts w:cs="Arial"/>
        </w:rPr>
        <w:lastRenderedPageBreak/>
        <w:t>provision was made for meeting such liabilities of the Discontinuing Fund as was known or should reasonably have been anticipated at the Effective Date and the amount of such undischarged liabilities is paid out of the Continuing Fund, in accordance with the Regulations.</w:t>
      </w:r>
      <w:bookmarkStart w:id="33" w:name="_DV_M167"/>
      <w:bookmarkEnd w:id="33"/>
    </w:p>
    <w:p w:rsidR="009E4D35" w:rsidRPr="0009387C" w:rsidRDefault="009E4D35" w:rsidP="00526AF0">
      <w:pPr>
        <w:pStyle w:val="ScheduleLevel2"/>
        <w:numPr>
          <w:ilvl w:val="3"/>
          <w:numId w:val="20"/>
        </w:numPr>
        <w:rPr>
          <w:rFonts w:cs="Arial"/>
        </w:rPr>
      </w:pPr>
      <w:r w:rsidRPr="0009387C">
        <w:rPr>
          <w:rFonts w:cs="Arial"/>
        </w:rPr>
        <w:t xml:space="preserve">On completion of the </w:t>
      </w:r>
      <w:r w:rsidR="00526AF0">
        <w:rPr>
          <w:rFonts w:cs="Arial"/>
        </w:rPr>
        <w:t>winding up</w:t>
      </w:r>
      <w:r w:rsidRPr="0009387C">
        <w:rPr>
          <w:rFonts w:cs="Arial"/>
        </w:rPr>
        <w:t>, the Manager and the Trustee will be discharged from all their obligations and liabilities in respect of the Discontinuing Fund, except those arising from a breach of duty before that time.</w:t>
      </w:r>
    </w:p>
    <w:p w:rsidR="009E4D35" w:rsidRPr="0009387C" w:rsidRDefault="009E4D35" w:rsidP="000D64DC">
      <w:pPr>
        <w:pStyle w:val="ScheduleLevel1"/>
        <w:keepNext/>
        <w:numPr>
          <w:ilvl w:val="2"/>
          <w:numId w:val="20"/>
        </w:numPr>
        <w:rPr>
          <w:rFonts w:cs="Arial"/>
          <w:b/>
        </w:rPr>
      </w:pPr>
      <w:r w:rsidRPr="0009387C">
        <w:rPr>
          <w:rFonts w:cs="Arial"/>
          <w:b/>
        </w:rPr>
        <w:t>Conditions</w:t>
      </w:r>
    </w:p>
    <w:p w:rsidR="009E4D35" w:rsidRPr="0009387C" w:rsidRDefault="004E385F" w:rsidP="000D64DC">
      <w:pPr>
        <w:pStyle w:val="ScheduleLevel2"/>
        <w:numPr>
          <w:ilvl w:val="3"/>
          <w:numId w:val="20"/>
        </w:numPr>
        <w:rPr>
          <w:rFonts w:cs="Arial"/>
        </w:rPr>
      </w:pPr>
      <w:r w:rsidRPr="004E385F">
        <w:rPr>
          <w:rFonts w:cs="Arial"/>
        </w:rPr>
        <w:t>The FCA has been informed of the proposal contained in this document and has confirmed that the implementation of the proposal as set out in this document will not affect the continuing authorisation of the Fund</w:t>
      </w:r>
      <w:r>
        <w:rPr>
          <w:rFonts w:cs="Arial"/>
        </w:rPr>
        <w:t>s</w:t>
      </w:r>
      <w:r w:rsidRPr="004E385F">
        <w:rPr>
          <w:rFonts w:cs="Arial"/>
        </w:rPr>
        <w:t xml:space="preserve"> as authorised fund</w:t>
      </w:r>
      <w:r>
        <w:rPr>
          <w:rFonts w:cs="Arial"/>
        </w:rPr>
        <w:t>s</w:t>
      </w:r>
      <w:r w:rsidRPr="004E385F">
        <w:rPr>
          <w:rFonts w:cs="Arial"/>
        </w:rPr>
        <w:t>.</w:t>
      </w:r>
      <w:r w:rsidR="00825D1B">
        <w:rPr>
          <w:rFonts w:cs="Arial"/>
        </w:rPr>
        <w:t xml:space="preserve"> </w:t>
      </w:r>
      <w:r w:rsidR="009E4D35" w:rsidRPr="0009387C">
        <w:rPr>
          <w:rFonts w:cs="Arial"/>
        </w:rPr>
        <w:t>In the event of such Extraordinary</w:t>
      </w:r>
      <w:r w:rsidR="009E4D35" w:rsidRPr="0009387C">
        <w:t xml:space="preserve"> </w:t>
      </w:r>
      <w:r w:rsidR="009E4D35" w:rsidRPr="0009387C">
        <w:rPr>
          <w:rFonts w:cs="Arial"/>
        </w:rPr>
        <w:t>Resolution being passed, this Scheme will be binding on all holders of Units in the Discontinuing Fund, whether or not they have voted in favour of the Extraordinary Resolution or voted at all and shall be carried into effect accordingly.</w:t>
      </w:r>
    </w:p>
    <w:p w:rsidR="009E4D35" w:rsidRPr="0009387C" w:rsidRDefault="009E4D35" w:rsidP="000D64DC">
      <w:pPr>
        <w:pStyle w:val="ScheduleLevel1"/>
        <w:keepNext/>
        <w:numPr>
          <w:ilvl w:val="2"/>
          <w:numId w:val="20"/>
        </w:numPr>
        <w:rPr>
          <w:rFonts w:cs="Arial"/>
          <w:b/>
        </w:rPr>
      </w:pPr>
      <w:r w:rsidRPr="0009387C">
        <w:rPr>
          <w:rFonts w:cs="Arial"/>
          <w:b/>
        </w:rPr>
        <w:t>Charges and Expenses</w:t>
      </w:r>
      <w:bookmarkStart w:id="34" w:name="_DV_M170"/>
      <w:bookmarkEnd w:id="34"/>
    </w:p>
    <w:p w:rsidR="009E4D35" w:rsidRPr="0009387C" w:rsidRDefault="009E4D35" w:rsidP="00891E76">
      <w:pPr>
        <w:pStyle w:val="ScheduleLevel2"/>
        <w:numPr>
          <w:ilvl w:val="3"/>
          <w:numId w:val="20"/>
        </w:numPr>
        <w:rPr>
          <w:rFonts w:cs="Arial"/>
        </w:rPr>
      </w:pPr>
      <w:bookmarkStart w:id="35" w:name="_DV_M172"/>
      <w:bookmarkEnd w:id="35"/>
      <w:r w:rsidRPr="0009387C">
        <w:rPr>
          <w:rFonts w:cs="Arial"/>
        </w:rPr>
        <w:t xml:space="preserve">Unless otherwise notified, the costs of preparing and implementing this Scheme will be paid by the Manager, except certain expenses which are permitted by the current Prospectus to be borne by the Discontinuing Fund, namely the fees and expenses of the external legal adviser to the Manager in respect of the </w:t>
      </w:r>
      <w:r w:rsidR="00511683">
        <w:rPr>
          <w:rFonts w:cs="Arial"/>
        </w:rPr>
        <w:t>Discontinuing Fund</w:t>
      </w:r>
      <w:r w:rsidRPr="0009387C">
        <w:rPr>
          <w:rFonts w:cs="Arial"/>
        </w:rPr>
        <w:t xml:space="preserve"> in relation to the Scheme. Audit costs will be borne by the Discontinuing Fund. </w:t>
      </w:r>
      <w:r w:rsidR="00891E76" w:rsidRPr="00891E76">
        <w:t xml:space="preserve"> </w:t>
      </w:r>
      <w:r w:rsidR="00891E76" w:rsidRPr="00891E76">
        <w:rPr>
          <w:rFonts w:cs="Arial"/>
        </w:rPr>
        <w:t>The costs borne by the Discontinuing Fund are expected to be less than 0.15% of the value of the Discontinuing Fund.</w:t>
      </w:r>
    </w:p>
    <w:p w:rsidR="009E4D35" w:rsidRPr="0009387C" w:rsidRDefault="009E4D35" w:rsidP="00822309">
      <w:pPr>
        <w:pStyle w:val="ScheduleLevel2"/>
        <w:numPr>
          <w:ilvl w:val="3"/>
          <w:numId w:val="20"/>
        </w:numPr>
        <w:rPr>
          <w:rFonts w:cs="Arial"/>
        </w:rPr>
      </w:pPr>
      <w:bookmarkStart w:id="36" w:name="_DV_M180"/>
      <w:bookmarkEnd w:id="36"/>
      <w:r w:rsidRPr="0009387C">
        <w:rPr>
          <w:rFonts w:cs="Arial"/>
        </w:rPr>
        <w:t xml:space="preserve">The Continuing Fund is expected to be exempt from stamp duty and SDRT on the transfer to it by the Discontinuing Fund of the latter’s portfolio of investments under the Scheme, however should any arise it will be borne by the </w:t>
      </w:r>
      <w:r w:rsidR="00822309">
        <w:rPr>
          <w:rFonts w:cs="Arial"/>
        </w:rPr>
        <w:t xml:space="preserve">Discontinuing </w:t>
      </w:r>
      <w:r w:rsidRPr="0009387C">
        <w:rPr>
          <w:rFonts w:cs="Arial"/>
        </w:rPr>
        <w:t>Fund.</w:t>
      </w:r>
    </w:p>
    <w:p w:rsidR="009E4D35" w:rsidRPr="0009387C" w:rsidRDefault="009E4D35" w:rsidP="000D64DC">
      <w:pPr>
        <w:pStyle w:val="ScheduleLevel1"/>
        <w:keepNext/>
        <w:numPr>
          <w:ilvl w:val="2"/>
          <w:numId w:val="20"/>
        </w:numPr>
        <w:rPr>
          <w:rFonts w:cs="Arial"/>
          <w:b/>
        </w:rPr>
      </w:pPr>
      <w:bookmarkStart w:id="37" w:name="_DV_M181"/>
      <w:bookmarkEnd w:id="37"/>
      <w:r w:rsidRPr="0009387C">
        <w:rPr>
          <w:rFonts w:cs="Arial"/>
          <w:b/>
        </w:rPr>
        <w:t>Reliance on register and certificates</w:t>
      </w:r>
    </w:p>
    <w:p w:rsidR="009E4D35" w:rsidRPr="0009387C" w:rsidRDefault="00526AF0" w:rsidP="00131CD8">
      <w:pPr>
        <w:pStyle w:val="Body1"/>
        <w:rPr>
          <w:rFonts w:cs="Arial"/>
        </w:rPr>
      </w:pPr>
      <w:bookmarkStart w:id="38" w:name="_DV_M182"/>
      <w:bookmarkEnd w:id="38"/>
      <w:r>
        <w:rPr>
          <w:rFonts w:cs="Arial"/>
        </w:rPr>
        <w:t xml:space="preserve">The </w:t>
      </w:r>
      <w:r w:rsidR="009E4D35" w:rsidRPr="0009387C">
        <w:rPr>
          <w:rFonts w:cs="Arial"/>
        </w:rPr>
        <w:t xml:space="preserve">Manager, </w:t>
      </w:r>
      <w:r w:rsidR="00131CD8">
        <w:rPr>
          <w:rFonts w:cs="Arial"/>
        </w:rPr>
        <w:t xml:space="preserve">the </w:t>
      </w:r>
      <w:r w:rsidR="009E4D35" w:rsidRPr="0009387C">
        <w:rPr>
          <w:rFonts w:cs="Arial"/>
        </w:rPr>
        <w:t>Trustee</w:t>
      </w:r>
      <w:r w:rsidR="004E385F">
        <w:rPr>
          <w:rFonts w:cs="Arial"/>
        </w:rPr>
        <w:t>,</w:t>
      </w:r>
      <w:r w:rsidR="009E4D35" w:rsidRPr="0009387C">
        <w:rPr>
          <w:rFonts w:cs="Arial"/>
        </w:rPr>
        <w:t xml:space="preserve"> the auditors of the Discontinuing Fund</w:t>
      </w:r>
      <w:bookmarkStart w:id="39" w:name="_DV_M183"/>
      <w:bookmarkEnd w:id="39"/>
      <w:r w:rsidR="00131CD8">
        <w:rPr>
          <w:rFonts w:cs="Arial"/>
        </w:rPr>
        <w:t>,</w:t>
      </w:r>
      <w:r w:rsidR="009E4D35" w:rsidRPr="0009387C">
        <w:rPr>
          <w:rFonts w:cs="Arial"/>
        </w:rPr>
        <w:t xml:space="preserve"> </w:t>
      </w:r>
      <w:r w:rsidR="00131CD8">
        <w:rPr>
          <w:rFonts w:cs="Arial"/>
        </w:rPr>
        <w:t xml:space="preserve">the </w:t>
      </w:r>
      <w:r w:rsidR="009E4D35" w:rsidRPr="0009387C">
        <w:rPr>
          <w:rFonts w:cs="Arial"/>
        </w:rPr>
        <w:t xml:space="preserve">ACD and </w:t>
      </w:r>
      <w:r w:rsidR="00131CD8">
        <w:rPr>
          <w:rFonts w:cs="Arial"/>
        </w:rPr>
        <w:t xml:space="preserve">the </w:t>
      </w:r>
      <w:r w:rsidR="009E4D35" w:rsidRPr="0009387C">
        <w:rPr>
          <w:rFonts w:cs="Arial"/>
        </w:rPr>
        <w:t xml:space="preserve">Depositary of the Continuing Fund shall each be entitled to assume that all information contained in the register of Unitholders in the Discontinuing Fund on and immediately prior to the Effective Date is correct, and to utilise the same in calculating the number of Shares to be issued and registered pursuant to the Scheme.  </w:t>
      </w:r>
      <w:r w:rsidR="00131CD8">
        <w:rPr>
          <w:rFonts w:cs="Arial"/>
        </w:rPr>
        <w:t xml:space="preserve">The Manager and the Trustee </w:t>
      </w:r>
      <w:r w:rsidR="009E4D35" w:rsidRPr="0009387C">
        <w:rPr>
          <w:rFonts w:cs="Arial"/>
        </w:rPr>
        <w:t>may each act and rely upon any certificate, opinion, evidence or information furnished to it by the other or by its respective professional advisers or by the auditors of the Discontinuing Fund in connection with the Scheme, and shall not be liable or responsible for any resulting loss.</w:t>
      </w:r>
    </w:p>
    <w:p w:rsidR="009E4D35" w:rsidRPr="0009387C" w:rsidRDefault="009E4D35" w:rsidP="000D64DC">
      <w:pPr>
        <w:pStyle w:val="ScheduleLevel1"/>
        <w:keepNext/>
        <w:numPr>
          <w:ilvl w:val="2"/>
          <w:numId w:val="20"/>
        </w:numPr>
        <w:rPr>
          <w:rFonts w:cs="Arial"/>
          <w:b/>
        </w:rPr>
      </w:pPr>
      <w:r w:rsidRPr="0009387C">
        <w:rPr>
          <w:rFonts w:cs="Arial"/>
          <w:b/>
        </w:rPr>
        <w:t>Alterations to the Scheme</w:t>
      </w:r>
    </w:p>
    <w:p w:rsidR="009E4D35" w:rsidRPr="0009387C" w:rsidRDefault="009E4D35" w:rsidP="00131CD8">
      <w:pPr>
        <w:pStyle w:val="Body1"/>
        <w:rPr>
          <w:rFonts w:cs="Arial"/>
        </w:rPr>
      </w:pPr>
      <w:r w:rsidRPr="0009387C">
        <w:rPr>
          <w:rFonts w:cs="Arial"/>
        </w:rPr>
        <w:t>The terms of this Scheme are subject to such amendments as may be agreed prior to the Effective Date by the Manager</w:t>
      </w:r>
      <w:r w:rsidR="004E385F">
        <w:rPr>
          <w:rFonts w:cs="Arial"/>
        </w:rPr>
        <w:t>,</w:t>
      </w:r>
      <w:r w:rsidRPr="0009387C">
        <w:rPr>
          <w:rFonts w:cs="Arial"/>
        </w:rPr>
        <w:t xml:space="preserve"> the Trustee</w:t>
      </w:r>
      <w:r w:rsidR="00131CD8">
        <w:rPr>
          <w:rFonts w:cs="Arial"/>
        </w:rPr>
        <w:t>, the ACD and the Depositary</w:t>
      </w:r>
      <w:r w:rsidRPr="0009387C">
        <w:rPr>
          <w:rFonts w:cs="Arial"/>
        </w:rPr>
        <w:t>.</w:t>
      </w:r>
    </w:p>
    <w:p w:rsidR="009E4D35" w:rsidRPr="0009387C" w:rsidRDefault="009E4D35" w:rsidP="000D64DC">
      <w:pPr>
        <w:pStyle w:val="ScheduleLevel1"/>
        <w:keepNext/>
        <w:numPr>
          <w:ilvl w:val="2"/>
          <w:numId w:val="20"/>
        </w:numPr>
        <w:rPr>
          <w:rFonts w:cs="Arial"/>
          <w:b/>
        </w:rPr>
      </w:pPr>
      <w:r w:rsidRPr="0009387C">
        <w:rPr>
          <w:rFonts w:cs="Arial"/>
          <w:b/>
        </w:rPr>
        <w:t>Governing law and jurisdiction</w:t>
      </w:r>
    </w:p>
    <w:p w:rsidR="009E4D35" w:rsidRPr="0009387C" w:rsidRDefault="009E4D35" w:rsidP="0009387C">
      <w:pPr>
        <w:pStyle w:val="Body1"/>
        <w:rPr>
          <w:rFonts w:cs="Arial"/>
        </w:rPr>
      </w:pPr>
      <w:r w:rsidRPr="0009387C">
        <w:rPr>
          <w:rFonts w:cs="Arial"/>
        </w:rPr>
        <w:t>This Scheme shall in all respects be governed by, and shall be construed in accordance with the laws of England and shall be subject to the jurisdiction of the English courts.</w:t>
      </w:r>
    </w:p>
    <w:p w:rsidR="009E4D35" w:rsidRPr="0009387C" w:rsidRDefault="009E4D35" w:rsidP="0009387C">
      <w:pPr>
        <w:pStyle w:val="AppendixHeadingTOC"/>
        <w:keepNext/>
        <w:pageBreakBefore/>
        <w:tabs>
          <w:tab w:val="clear" w:pos="864"/>
        </w:tabs>
        <w:ind w:left="0" w:firstLine="0"/>
        <w:rPr>
          <w:rStyle w:val="HiddenText"/>
          <w:rFonts w:cs="Arial"/>
        </w:rPr>
      </w:pPr>
      <w:bookmarkStart w:id="40" w:name="_Ref282766499"/>
      <w:r w:rsidRPr="0009387C">
        <w:rPr>
          <w:rStyle w:val="HiddenText"/>
          <w:rFonts w:cs="Arial"/>
        </w:rPr>
        <w:lastRenderedPageBreak/>
        <w:t>.</w:t>
      </w:r>
      <w:bookmarkEnd w:id="40"/>
    </w:p>
    <w:p w:rsidR="009E4D35" w:rsidRPr="0009387C" w:rsidRDefault="009E4D35" w:rsidP="0009387C">
      <w:pPr>
        <w:pStyle w:val="AppendixSubHeadingTOC"/>
        <w:rPr>
          <w:rFonts w:cs="Arial"/>
        </w:rPr>
      </w:pPr>
      <w:r w:rsidRPr="0009387C">
        <w:rPr>
          <w:rFonts w:cs="Arial"/>
        </w:rPr>
        <w:t>COMPARISON OF FUNDS</w:t>
      </w:r>
    </w:p>
    <w:p w:rsidR="009E4D35" w:rsidRPr="0009387C" w:rsidRDefault="009E4D35" w:rsidP="0009387C">
      <w:pPr>
        <w:rPr>
          <w:rFonts w:cs="Arial"/>
          <w:b/>
        </w:rPr>
      </w:pPr>
      <w:r w:rsidRPr="0009387C">
        <w:rPr>
          <w:rFonts w:cs="Arial"/>
          <w:b/>
        </w:rPr>
        <w:t>Investment Objectives and Policies</w:t>
      </w:r>
    </w:p>
    <w:p w:rsidR="009E4D35" w:rsidRPr="0009387C" w:rsidRDefault="009E4D35" w:rsidP="00131CD8">
      <w:pPr>
        <w:rPr>
          <w:rFonts w:cs="Arial"/>
        </w:rPr>
      </w:pPr>
      <w:r w:rsidRPr="0009387C">
        <w:rPr>
          <w:rFonts w:cs="Arial"/>
        </w:rPr>
        <w:t xml:space="preserve">The differences between the investment objective and policy of the </w:t>
      </w:r>
      <w:r w:rsidRPr="00131CD8">
        <w:rPr>
          <w:rFonts w:cs="Arial"/>
          <w:bCs/>
        </w:rPr>
        <w:t>Discontinuing Fund</w:t>
      </w:r>
      <w:r w:rsidRPr="0009387C">
        <w:rPr>
          <w:rFonts w:cs="Arial"/>
        </w:rPr>
        <w:t xml:space="preserve"> and </w:t>
      </w:r>
      <w:r w:rsidRPr="00131CD8">
        <w:rPr>
          <w:rFonts w:cs="Arial"/>
          <w:bCs/>
        </w:rPr>
        <w:t>Continuing Fund</w:t>
      </w:r>
      <w:r w:rsidRPr="0009387C">
        <w:rPr>
          <w:rFonts w:cs="Arial"/>
        </w:rPr>
        <w:t xml:space="preserve"> are as set out in the table below.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410"/>
      </w:tblGrid>
      <w:tr w:rsidR="009E4D35" w:rsidRPr="0009387C" w:rsidTr="00414A23">
        <w:tc>
          <w:tcPr>
            <w:tcW w:w="4770" w:type="dxa"/>
          </w:tcPr>
          <w:p w:rsidR="009E4D35" w:rsidRPr="0009387C" w:rsidRDefault="009E4D35" w:rsidP="0009387C">
            <w:pPr>
              <w:pStyle w:val="Body"/>
              <w:adjustRightInd w:val="0"/>
              <w:spacing w:after="0"/>
              <w:jc w:val="center"/>
              <w:rPr>
                <w:rFonts w:ascii="Arial" w:hAnsi="Arial" w:cs="Arial"/>
                <w:b/>
                <w:sz w:val="20"/>
                <w:lang w:eastAsia="en-US"/>
              </w:rPr>
            </w:pPr>
            <w:r w:rsidRPr="0009387C">
              <w:rPr>
                <w:rFonts w:ascii="Arial" w:hAnsi="Arial" w:cs="Arial"/>
                <w:b/>
                <w:sz w:val="20"/>
                <w:lang w:eastAsia="en-US"/>
              </w:rPr>
              <w:t xml:space="preserve">Discontinuing Fund </w:t>
            </w:r>
          </w:p>
          <w:p w:rsidR="009E4D35" w:rsidRPr="0009387C" w:rsidRDefault="009E4D35" w:rsidP="0009387C">
            <w:pPr>
              <w:pStyle w:val="ScheduleLevel1"/>
              <w:keepNext/>
              <w:numPr>
                <w:ilvl w:val="0"/>
                <w:numId w:val="0"/>
              </w:numPr>
              <w:adjustRightInd w:val="0"/>
              <w:spacing w:after="0"/>
              <w:jc w:val="center"/>
              <w:rPr>
                <w:rFonts w:cs="Arial"/>
              </w:rPr>
            </w:pPr>
          </w:p>
        </w:tc>
        <w:tc>
          <w:tcPr>
            <w:tcW w:w="4410" w:type="dxa"/>
          </w:tcPr>
          <w:p w:rsidR="009E4D35" w:rsidRPr="0009387C" w:rsidRDefault="009E4D35" w:rsidP="0009387C">
            <w:pPr>
              <w:pStyle w:val="Body"/>
              <w:adjustRightInd w:val="0"/>
              <w:spacing w:after="0"/>
              <w:jc w:val="center"/>
              <w:rPr>
                <w:rFonts w:ascii="Arial" w:hAnsi="Arial" w:cs="Arial"/>
                <w:b/>
                <w:sz w:val="20"/>
                <w:lang w:eastAsia="en-US"/>
              </w:rPr>
            </w:pPr>
            <w:r w:rsidRPr="0009387C">
              <w:rPr>
                <w:rFonts w:ascii="Arial" w:hAnsi="Arial" w:cs="Arial"/>
                <w:b/>
                <w:sz w:val="20"/>
                <w:lang w:eastAsia="en-US"/>
              </w:rPr>
              <w:t xml:space="preserve">Continuing Fund </w:t>
            </w:r>
          </w:p>
        </w:tc>
      </w:tr>
      <w:tr w:rsidR="009E4D35" w:rsidRPr="0009387C" w:rsidTr="00414A23">
        <w:tc>
          <w:tcPr>
            <w:tcW w:w="4770" w:type="dxa"/>
          </w:tcPr>
          <w:p w:rsidR="009E4D35" w:rsidRPr="0009387C" w:rsidRDefault="009E4D35" w:rsidP="0009387C">
            <w:pPr>
              <w:pStyle w:val="Body"/>
              <w:adjustRightInd w:val="0"/>
              <w:rPr>
                <w:rFonts w:ascii="Arial" w:hAnsi="Arial" w:cs="Arial"/>
                <w:b/>
                <w:sz w:val="20"/>
                <w:lang w:eastAsia="en-US"/>
              </w:rPr>
            </w:pPr>
            <w:r w:rsidRPr="0009387C">
              <w:rPr>
                <w:rFonts w:ascii="Arial" w:hAnsi="Arial" w:cs="Arial"/>
                <w:b/>
                <w:sz w:val="20"/>
                <w:lang w:eastAsia="en-US"/>
              </w:rPr>
              <w:t xml:space="preserve">Investment Objective </w:t>
            </w:r>
          </w:p>
          <w:p w:rsidR="009E4D35" w:rsidRPr="004064FD" w:rsidRDefault="004064FD" w:rsidP="004064FD">
            <w:pPr>
              <w:autoSpaceDE w:val="0"/>
              <w:autoSpaceDN w:val="0"/>
              <w:adjustRightInd w:val="0"/>
              <w:spacing w:after="0"/>
              <w:rPr>
                <w:rFonts w:cs="Arial"/>
              </w:rPr>
            </w:pPr>
            <w:r w:rsidRPr="004064FD">
              <w:rPr>
                <w:rFonts w:cs="Arial"/>
              </w:rPr>
              <w:t>To provide capital growth and income from investment in a diversified property portfolio, primarily in direct property, but may include property related securities and collective investment schemes, property derivatives, cash and near cash, and government and other public securities</w:t>
            </w:r>
            <w:r w:rsidR="009E4D35" w:rsidRPr="0009387C">
              <w:rPr>
                <w:rFonts w:cs="Arial"/>
              </w:rPr>
              <w:t>.</w:t>
            </w:r>
          </w:p>
          <w:p w:rsidR="004064FD" w:rsidRPr="004064FD" w:rsidRDefault="004064FD" w:rsidP="004064FD">
            <w:pPr>
              <w:pStyle w:val="Default"/>
              <w:jc w:val="both"/>
            </w:pPr>
          </w:p>
          <w:p w:rsidR="009E4D35" w:rsidRPr="0009387C" w:rsidRDefault="009E4D35" w:rsidP="0009387C">
            <w:pPr>
              <w:pStyle w:val="Body"/>
              <w:adjustRightInd w:val="0"/>
              <w:rPr>
                <w:rFonts w:ascii="Arial" w:hAnsi="Arial" w:cs="Arial"/>
                <w:b/>
                <w:sz w:val="20"/>
                <w:lang w:eastAsia="en-US"/>
              </w:rPr>
            </w:pPr>
            <w:r w:rsidRPr="0009387C">
              <w:rPr>
                <w:rFonts w:ascii="Arial" w:hAnsi="Arial" w:cs="Arial"/>
                <w:b/>
                <w:sz w:val="20"/>
                <w:lang w:eastAsia="en-US"/>
              </w:rPr>
              <w:t xml:space="preserve">Investment Policy </w:t>
            </w:r>
          </w:p>
          <w:p w:rsidR="004064FD" w:rsidRPr="004064FD" w:rsidRDefault="004064FD" w:rsidP="004064FD">
            <w:pPr>
              <w:autoSpaceDE w:val="0"/>
              <w:autoSpaceDN w:val="0"/>
              <w:adjustRightInd w:val="0"/>
              <w:spacing w:after="0"/>
              <w:rPr>
                <w:rFonts w:cs="Arial"/>
              </w:rPr>
            </w:pPr>
            <w:r w:rsidRPr="004064FD">
              <w:rPr>
                <w:rFonts w:cs="Arial"/>
              </w:rPr>
              <w:t xml:space="preserve">The emphasis of the Fund is investment in UK property. The Fund may also invest in collective investment schemes which give property exposure, and property related securities. Derivatives may be used for efficient portfolio management. Cash, near cash, government and other public securities may be held. </w:t>
            </w:r>
          </w:p>
          <w:p w:rsidR="004064FD" w:rsidRPr="004064FD" w:rsidRDefault="004064FD" w:rsidP="004064FD">
            <w:pPr>
              <w:autoSpaceDE w:val="0"/>
              <w:autoSpaceDN w:val="0"/>
              <w:adjustRightInd w:val="0"/>
              <w:spacing w:after="0"/>
              <w:rPr>
                <w:rFonts w:cs="Arial"/>
              </w:rPr>
            </w:pPr>
          </w:p>
          <w:p w:rsidR="009E4D35" w:rsidRPr="0009387C" w:rsidRDefault="004064FD" w:rsidP="004064FD">
            <w:pPr>
              <w:autoSpaceDE w:val="0"/>
              <w:autoSpaceDN w:val="0"/>
              <w:adjustRightInd w:val="0"/>
              <w:spacing w:after="0"/>
              <w:rPr>
                <w:rFonts w:cs="Arial"/>
              </w:rPr>
            </w:pPr>
            <w:r w:rsidRPr="004064FD">
              <w:rPr>
                <w:rFonts w:cs="Arial"/>
              </w:rPr>
              <w:t>The Manager has appointed a specialist investment adviser to manage the Fund and continuously monitors its suitability</w:t>
            </w:r>
            <w:r>
              <w:rPr>
                <w:rFonts w:cs="Arial"/>
              </w:rPr>
              <w:t>.</w:t>
            </w:r>
          </w:p>
        </w:tc>
        <w:tc>
          <w:tcPr>
            <w:tcW w:w="4410" w:type="dxa"/>
          </w:tcPr>
          <w:p w:rsidR="009E4D35" w:rsidRPr="0009387C" w:rsidRDefault="009E4D35" w:rsidP="0009387C">
            <w:pPr>
              <w:pStyle w:val="Body"/>
              <w:adjustRightInd w:val="0"/>
              <w:rPr>
                <w:rFonts w:ascii="Arial" w:hAnsi="Arial" w:cs="Arial"/>
                <w:b/>
                <w:sz w:val="20"/>
                <w:lang w:eastAsia="en-US"/>
              </w:rPr>
            </w:pPr>
            <w:r w:rsidRPr="0009387C">
              <w:rPr>
                <w:rFonts w:ascii="Arial" w:hAnsi="Arial" w:cs="Arial"/>
                <w:b/>
                <w:sz w:val="20"/>
                <w:lang w:eastAsia="en-US"/>
              </w:rPr>
              <w:t xml:space="preserve">Investment Objective </w:t>
            </w:r>
          </w:p>
          <w:p w:rsidR="006452A8" w:rsidRDefault="00511683" w:rsidP="00511683">
            <w:pPr>
              <w:autoSpaceDE w:val="0"/>
              <w:autoSpaceDN w:val="0"/>
              <w:adjustRightInd w:val="0"/>
              <w:spacing w:after="0"/>
              <w:rPr>
                <w:rFonts w:cs="Arial"/>
              </w:rPr>
            </w:pPr>
            <w:r>
              <w:rPr>
                <w:rFonts w:cs="Arial"/>
              </w:rPr>
              <w:t>T</w:t>
            </w:r>
            <w:r w:rsidR="004064FD" w:rsidRPr="004064FD">
              <w:rPr>
                <w:rFonts w:cs="Arial"/>
              </w:rPr>
              <w:t>o achieve a high income together with some growth of both</w:t>
            </w:r>
            <w:r>
              <w:rPr>
                <w:rFonts w:cs="Arial"/>
              </w:rPr>
              <w:t xml:space="preserve"> </w:t>
            </w:r>
            <w:r w:rsidR="004064FD" w:rsidRPr="004064FD">
              <w:rPr>
                <w:rFonts w:cs="Arial"/>
              </w:rPr>
              <w:t>income and capital</w:t>
            </w:r>
            <w:r w:rsidR="00F31214" w:rsidRPr="00F31214">
              <w:rPr>
                <w:rFonts w:cs="Arial"/>
              </w:rPr>
              <w:t>.</w:t>
            </w:r>
          </w:p>
          <w:p w:rsidR="00511683" w:rsidRPr="0009387C" w:rsidRDefault="00511683" w:rsidP="00511683">
            <w:pPr>
              <w:autoSpaceDE w:val="0"/>
              <w:autoSpaceDN w:val="0"/>
              <w:adjustRightInd w:val="0"/>
              <w:spacing w:after="0"/>
              <w:rPr>
                <w:rFonts w:cs="Arial"/>
              </w:rPr>
            </w:pPr>
          </w:p>
          <w:p w:rsidR="009E4D35" w:rsidRPr="0009387C" w:rsidRDefault="009E4D35" w:rsidP="0009387C">
            <w:pPr>
              <w:adjustRightInd w:val="0"/>
              <w:rPr>
                <w:rFonts w:cs="Arial"/>
                <w:b/>
              </w:rPr>
            </w:pPr>
            <w:r w:rsidRPr="0009387C">
              <w:rPr>
                <w:rFonts w:cs="Arial"/>
                <w:b/>
              </w:rPr>
              <w:t>Investment Policy</w:t>
            </w:r>
          </w:p>
          <w:p w:rsidR="004064FD" w:rsidRDefault="004064FD" w:rsidP="004064FD">
            <w:pPr>
              <w:autoSpaceDE w:val="0"/>
              <w:autoSpaceDN w:val="0"/>
              <w:adjustRightInd w:val="0"/>
              <w:spacing w:after="0"/>
              <w:rPr>
                <w:rFonts w:cs="Arial"/>
              </w:rPr>
            </w:pPr>
            <w:r w:rsidRPr="004064FD">
              <w:rPr>
                <w:rFonts w:cs="Arial"/>
              </w:rPr>
              <w:t xml:space="preserve">The </w:t>
            </w:r>
            <w:r w:rsidR="00511683">
              <w:rPr>
                <w:rFonts w:cs="Arial"/>
              </w:rPr>
              <w:t>Fund</w:t>
            </w:r>
            <w:r w:rsidRPr="004064FD">
              <w:rPr>
                <w:rFonts w:cs="Arial"/>
              </w:rPr>
              <w:t xml:space="preserve"> aims to invest primarily in commercial property and property related securities. It</w:t>
            </w:r>
            <w:r>
              <w:rPr>
                <w:rFonts w:cs="Arial"/>
              </w:rPr>
              <w:t xml:space="preserve"> </w:t>
            </w:r>
            <w:r w:rsidRPr="004064FD">
              <w:rPr>
                <w:rFonts w:cs="Arial"/>
              </w:rPr>
              <w:t>may also invest in residential property and in non property-related securities, units/shares in</w:t>
            </w:r>
            <w:r>
              <w:rPr>
                <w:rFonts w:cs="Arial"/>
              </w:rPr>
              <w:t xml:space="preserve"> </w:t>
            </w:r>
            <w:r w:rsidRPr="004064FD">
              <w:rPr>
                <w:rFonts w:cs="Arial"/>
              </w:rPr>
              <w:t>collective investment schemes, money market instruments, deposits, derivatives and forward</w:t>
            </w:r>
            <w:r>
              <w:rPr>
                <w:rFonts w:cs="Arial"/>
              </w:rPr>
              <w:t xml:space="preserve"> </w:t>
            </w:r>
            <w:r w:rsidRPr="004064FD">
              <w:rPr>
                <w:rFonts w:cs="Arial"/>
              </w:rPr>
              <w:t>foreign exchange contracts.</w:t>
            </w:r>
          </w:p>
          <w:p w:rsidR="004064FD" w:rsidRPr="004064FD" w:rsidRDefault="004064FD" w:rsidP="004064FD">
            <w:pPr>
              <w:autoSpaceDE w:val="0"/>
              <w:autoSpaceDN w:val="0"/>
              <w:adjustRightInd w:val="0"/>
              <w:spacing w:after="0"/>
              <w:rPr>
                <w:rFonts w:cs="Arial"/>
              </w:rPr>
            </w:pPr>
          </w:p>
          <w:p w:rsidR="004064FD" w:rsidRDefault="004064FD" w:rsidP="004064FD">
            <w:pPr>
              <w:autoSpaceDE w:val="0"/>
              <w:autoSpaceDN w:val="0"/>
              <w:adjustRightInd w:val="0"/>
              <w:spacing w:after="0"/>
              <w:rPr>
                <w:rFonts w:cs="Arial"/>
              </w:rPr>
            </w:pPr>
            <w:r w:rsidRPr="004064FD">
              <w:rPr>
                <w:rFonts w:cs="Arial"/>
              </w:rPr>
              <w:t>Investments in these assets may include exchange traded funds, real estate investment trusts,</w:t>
            </w:r>
            <w:r>
              <w:rPr>
                <w:rFonts w:cs="Arial"/>
              </w:rPr>
              <w:t xml:space="preserve"> </w:t>
            </w:r>
            <w:r w:rsidRPr="004064FD">
              <w:rPr>
                <w:rFonts w:cs="Arial"/>
              </w:rPr>
              <w:t>unregulated collective investment schemes (which may include unauthorised property unit trusts</w:t>
            </w:r>
            <w:r>
              <w:rPr>
                <w:rFonts w:cs="Arial"/>
              </w:rPr>
              <w:t xml:space="preserve"> </w:t>
            </w:r>
            <w:r w:rsidRPr="004064FD">
              <w:rPr>
                <w:rFonts w:cs="Arial"/>
              </w:rPr>
              <w:t>and limited partnerships).</w:t>
            </w:r>
          </w:p>
          <w:p w:rsidR="004064FD" w:rsidRPr="004064FD" w:rsidRDefault="004064FD" w:rsidP="004064FD">
            <w:pPr>
              <w:autoSpaceDE w:val="0"/>
              <w:autoSpaceDN w:val="0"/>
              <w:adjustRightInd w:val="0"/>
              <w:spacing w:after="0"/>
              <w:rPr>
                <w:rFonts w:cs="Arial"/>
              </w:rPr>
            </w:pPr>
          </w:p>
          <w:p w:rsidR="006452A8" w:rsidRPr="0009387C" w:rsidRDefault="004064FD" w:rsidP="00511683">
            <w:pPr>
              <w:adjustRightInd w:val="0"/>
              <w:rPr>
                <w:rFonts w:cs="Arial"/>
                <w:b/>
              </w:rPr>
            </w:pPr>
            <w:r w:rsidRPr="004064FD">
              <w:rPr>
                <w:rFonts w:cs="Arial"/>
              </w:rPr>
              <w:t xml:space="preserve">Whilst the </w:t>
            </w:r>
            <w:r w:rsidR="00511683">
              <w:rPr>
                <w:rFonts w:cs="Arial"/>
              </w:rPr>
              <w:t>Fund</w:t>
            </w:r>
            <w:r w:rsidRPr="004064FD">
              <w:rPr>
                <w:rFonts w:cs="Arial"/>
              </w:rPr>
              <w:t xml:space="preserve"> aims to invest primarily in the UK, it may also invest overseas</w:t>
            </w:r>
            <w:r w:rsidR="006452A8" w:rsidRPr="0009387C">
              <w:rPr>
                <w:rFonts w:cs="Arial"/>
              </w:rPr>
              <w:t>.</w:t>
            </w:r>
          </w:p>
        </w:tc>
      </w:tr>
    </w:tbl>
    <w:p w:rsidR="009E4D35" w:rsidRPr="0009387C" w:rsidRDefault="009E4D35" w:rsidP="0009387C">
      <w:pPr>
        <w:spacing w:after="0"/>
        <w:rPr>
          <w:rFonts w:cs="Arial"/>
        </w:rPr>
      </w:pPr>
    </w:p>
    <w:p w:rsidR="009E4D35" w:rsidRPr="0009387C" w:rsidRDefault="009E4D35" w:rsidP="0009387C">
      <w:pPr>
        <w:rPr>
          <w:rFonts w:cs="Arial"/>
          <w:b/>
        </w:rPr>
      </w:pPr>
      <w:r w:rsidRPr="0009387C">
        <w:rPr>
          <w:rFonts w:cs="Arial"/>
          <w:b/>
        </w:rPr>
        <w:t>Investment and Borrowing Powers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651"/>
        <w:gridCol w:w="3690"/>
      </w:tblGrid>
      <w:tr w:rsidR="009E4D35" w:rsidRPr="0009387C" w:rsidTr="00200DA1">
        <w:tc>
          <w:tcPr>
            <w:tcW w:w="1839" w:type="dxa"/>
          </w:tcPr>
          <w:p w:rsidR="009E4D35" w:rsidRPr="0009387C" w:rsidRDefault="009E4D35" w:rsidP="0009387C">
            <w:pPr>
              <w:pStyle w:val="Body"/>
              <w:adjustRightInd w:val="0"/>
              <w:jc w:val="center"/>
              <w:rPr>
                <w:rFonts w:ascii="Arial" w:hAnsi="Arial" w:cs="Arial"/>
                <w:sz w:val="20"/>
                <w:lang w:eastAsia="en-US"/>
              </w:rPr>
            </w:pPr>
            <w:r w:rsidRPr="0009387C">
              <w:rPr>
                <w:rFonts w:ascii="Arial" w:hAnsi="Arial" w:cs="Arial"/>
                <w:b/>
                <w:sz w:val="20"/>
                <w:lang w:eastAsia="en-US"/>
              </w:rPr>
              <w:t>Fund Investments and Investment Techniques</w:t>
            </w:r>
          </w:p>
        </w:tc>
        <w:tc>
          <w:tcPr>
            <w:tcW w:w="3651" w:type="dxa"/>
          </w:tcPr>
          <w:p w:rsidR="009E4D35" w:rsidRPr="0009387C" w:rsidRDefault="009E4D35" w:rsidP="0009387C">
            <w:pPr>
              <w:pStyle w:val="Body"/>
              <w:adjustRightInd w:val="0"/>
              <w:spacing w:after="0"/>
              <w:jc w:val="center"/>
              <w:rPr>
                <w:rFonts w:ascii="Arial" w:hAnsi="Arial" w:cs="Arial"/>
                <w:b/>
                <w:sz w:val="20"/>
                <w:lang w:eastAsia="en-US"/>
              </w:rPr>
            </w:pPr>
            <w:r w:rsidRPr="0009387C">
              <w:rPr>
                <w:rFonts w:ascii="Arial" w:hAnsi="Arial" w:cs="Arial"/>
                <w:b/>
                <w:sz w:val="20"/>
                <w:lang w:eastAsia="en-US"/>
              </w:rPr>
              <w:t>Discontinuing Fund</w:t>
            </w:r>
          </w:p>
          <w:p w:rsidR="009E4D35" w:rsidRPr="0009387C" w:rsidRDefault="009E4D35" w:rsidP="0009387C">
            <w:pPr>
              <w:pStyle w:val="Body"/>
              <w:adjustRightInd w:val="0"/>
              <w:spacing w:after="0"/>
              <w:jc w:val="center"/>
              <w:rPr>
                <w:rFonts w:ascii="Arial" w:hAnsi="Arial" w:cs="Arial"/>
                <w:sz w:val="20"/>
                <w:lang w:eastAsia="en-US"/>
              </w:rPr>
            </w:pPr>
          </w:p>
        </w:tc>
        <w:tc>
          <w:tcPr>
            <w:tcW w:w="3690" w:type="dxa"/>
          </w:tcPr>
          <w:p w:rsidR="009E4D35" w:rsidRPr="0009387C" w:rsidRDefault="009E4D35" w:rsidP="0009387C">
            <w:pPr>
              <w:pStyle w:val="Body"/>
              <w:adjustRightInd w:val="0"/>
              <w:spacing w:after="0"/>
              <w:jc w:val="center"/>
              <w:rPr>
                <w:rFonts w:ascii="Arial" w:hAnsi="Arial" w:cs="Arial"/>
                <w:b/>
                <w:sz w:val="20"/>
                <w:lang w:eastAsia="en-US"/>
              </w:rPr>
            </w:pPr>
            <w:r w:rsidRPr="0009387C">
              <w:rPr>
                <w:rFonts w:ascii="Arial" w:hAnsi="Arial" w:cs="Arial"/>
                <w:b/>
                <w:sz w:val="20"/>
                <w:lang w:eastAsia="en-US"/>
              </w:rPr>
              <w:t>Continuing Fund</w:t>
            </w: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t>Approved securities</w:t>
            </w:r>
          </w:p>
        </w:tc>
        <w:tc>
          <w:tcPr>
            <w:tcW w:w="3651" w:type="dxa"/>
          </w:tcPr>
          <w:p w:rsidR="009E4D35" w:rsidRPr="0009387C" w:rsidRDefault="0064254A" w:rsidP="0009387C">
            <w:pPr>
              <w:adjustRightInd w:val="0"/>
              <w:rPr>
                <w:rFonts w:cs="Arial"/>
              </w:rPr>
            </w:pPr>
            <w:r>
              <w:rPr>
                <w:rFonts w:cs="Arial"/>
              </w:rPr>
              <w:t xml:space="preserve">The </w:t>
            </w:r>
            <w:r w:rsidR="009E4D35" w:rsidRPr="0009387C">
              <w:rPr>
                <w:rFonts w:cs="Arial"/>
              </w:rPr>
              <w:t>Fund may invest in transferable securities and approved money-market instruments provided they are:</w:t>
            </w:r>
          </w:p>
          <w:p w:rsidR="009E4D35" w:rsidRPr="0009387C" w:rsidRDefault="009E4D35" w:rsidP="0009387C">
            <w:pPr>
              <w:adjustRightInd w:val="0"/>
              <w:rPr>
                <w:rFonts w:cs="Arial"/>
              </w:rPr>
            </w:pPr>
            <w:r w:rsidRPr="0009387C">
              <w:rPr>
                <w:rFonts w:cs="Arial"/>
              </w:rPr>
              <w:t xml:space="preserve">(i) </w:t>
            </w:r>
            <w:r w:rsidRPr="0009387C">
              <w:rPr>
                <w:rFonts w:cs="Arial"/>
              </w:rPr>
              <w:tab/>
              <w:t>admitted to or dealt on a regulated market;</w:t>
            </w:r>
          </w:p>
          <w:p w:rsidR="009E4D35" w:rsidRPr="0009387C" w:rsidRDefault="009E4D35" w:rsidP="0009387C">
            <w:pPr>
              <w:adjustRightInd w:val="0"/>
              <w:rPr>
                <w:rFonts w:cs="Arial"/>
              </w:rPr>
            </w:pPr>
            <w:r w:rsidRPr="0009387C">
              <w:rPr>
                <w:rFonts w:cs="Arial"/>
              </w:rPr>
              <w:t xml:space="preserve">(ii) </w:t>
            </w:r>
            <w:r w:rsidRPr="0009387C">
              <w:rPr>
                <w:rFonts w:cs="Arial"/>
              </w:rPr>
              <w:tab/>
              <w:t>dealt in on a market in a European Economic Area (“EEA”) state which is regulated, operates regularly and is open to the public;</w:t>
            </w:r>
          </w:p>
          <w:p w:rsidR="009E4D35" w:rsidRPr="0009387C" w:rsidRDefault="009E4D35" w:rsidP="0009387C">
            <w:pPr>
              <w:adjustRightInd w:val="0"/>
              <w:rPr>
                <w:rFonts w:cs="Arial"/>
              </w:rPr>
            </w:pPr>
            <w:r w:rsidRPr="0009387C">
              <w:rPr>
                <w:rFonts w:cs="Arial"/>
              </w:rPr>
              <w:t xml:space="preserve">(iii) </w:t>
            </w:r>
            <w:r w:rsidRPr="0009387C">
              <w:rPr>
                <w:rFonts w:cs="Arial"/>
              </w:rPr>
              <w:tab/>
              <w:t xml:space="preserve">admitted to or dealt in on a market which the Manager and the Trustee determine to be appropriate, the market is included in the list of </w:t>
            </w:r>
            <w:r w:rsidRPr="0009387C">
              <w:rPr>
                <w:rFonts w:cs="Arial"/>
              </w:rPr>
              <w:lastRenderedPageBreak/>
              <w:t>eligible markets in schedule 2 and the Trustee has taken reasonable care to determine that adequate custody arrangements can be provided for the investment dealt in on that market and all reasonable steps have been taken by the Manager in deciding whether that market is eligible;</w:t>
            </w:r>
          </w:p>
          <w:p w:rsidR="009E4D35" w:rsidRPr="0009387C" w:rsidRDefault="009E4D35" w:rsidP="0009387C">
            <w:pPr>
              <w:adjustRightInd w:val="0"/>
              <w:rPr>
                <w:rFonts w:cs="Arial"/>
              </w:rPr>
            </w:pPr>
            <w:r w:rsidRPr="0009387C">
              <w:rPr>
                <w:rFonts w:cs="Arial"/>
              </w:rPr>
              <w:t xml:space="preserve">(iv) </w:t>
            </w:r>
            <w:r w:rsidRPr="0009387C">
              <w:rPr>
                <w:rFonts w:cs="Arial"/>
              </w:rPr>
              <w:tab/>
              <w:t>for an approved money-market instrument not admitted to or dealt in on an eligible market where the issue or the issuer is regulated for the purpose of protecting investors and savings and the instrument is issued or guaranteed in accordance with the Sourcebook; or</w:t>
            </w:r>
          </w:p>
          <w:p w:rsidR="009E4D35" w:rsidRPr="0009387C" w:rsidRDefault="009E4D35" w:rsidP="0009387C">
            <w:pPr>
              <w:adjustRightInd w:val="0"/>
              <w:rPr>
                <w:rFonts w:cs="Arial"/>
              </w:rPr>
            </w:pPr>
            <w:r w:rsidRPr="0009387C">
              <w:rPr>
                <w:rFonts w:cs="Arial"/>
              </w:rPr>
              <w:t xml:space="preserve">(v) </w:t>
            </w:r>
            <w:r w:rsidRPr="0009387C">
              <w:rPr>
                <w:rFonts w:cs="Arial"/>
              </w:rPr>
              <w:tab/>
              <w:t xml:space="preserve">recently issued transferable securities provided that the terms of issue include an undertaking that application will be made to be admitted to an eligible market and the admission is secured within a year of issue.  </w:t>
            </w:r>
          </w:p>
        </w:tc>
        <w:tc>
          <w:tcPr>
            <w:tcW w:w="3690" w:type="dxa"/>
          </w:tcPr>
          <w:p w:rsidR="009E4D35" w:rsidRPr="0064254A" w:rsidRDefault="0064254A" w:rsidP="0064254A">
            <w:pPr>
              <w:spacing w:after="0"/>
              <w:outlineLvl w:val="2"/>
              <w:rPr>
                <w:rFonts w:cs="Arial"/>
              </w:rPr>
            </w:pPr>
            <w:r w:rsidRPr="0064254A">
              <w:rPr>
                <w:rFonts w:cs="Arial"/>
              </w:rPr>
              <w:lastRenderedPageBreak/>
              <w:t>The Fund may invest in transferable securities and money-market instruments provided they are:</w:t>
            </w:r>
          </w:p>
          <w:p w:rsidR="0064254A" w:rsidRPr="0064254A" w:rsidRDefault="0064254A" w:rsidP="0064254A">
            <w:pPr>
              <w:spacing w:after="0"/>
              <w:outlineLvl w:val="2"/>
              <w:rPr>
                <w:rFonts w:cs="Arial"/>
              </w:rPr>
            </w:pPr>
          </w:p>
          <w:p w:rsidR="0064254A" w:rsidRPr="0064254A" w:rsidRDefault="0064254A" w:rsidP="0064254A">
            <w:pPr>
              <w:spacing w:after="0"/>
              <w:outlineLvl w:val="2"/>
              <w:rPr>
                <w:rFonts w:cs="Arial"/>
              </w:rPr>
            </w:pPr>
            <w:r w:rsidRPr="0064254A">
              <w:rPr>
                <w:rFonts w:cs="Arial"/>
              </w:rPr>
              <w:t>(i) admitted to or dealt in on a regulated market;</w:t>
            </w:r>
          </w:p>
          <w:p w:rsidR="0064254A" w:rsidRDefault="0064254A" w:rsidP="0064254A">
            <w:pPr>
              <w:spacing w:after="0"/>
              <w:outlineLvl w:val="2"/>
              <w:rPr>
                <w:rFonts w:cs="Arial"/>
              </w:rPr>
            </w:pPr>
          </w:p>
          <w:p w:rsidR="0064254A" w:rsidRDefault="0064254A" w:rsidP="0064254A">
            <w:pPr>
              <w:autoSpaceDE w:val="0"/>
              <w:autoSpaceDN w:val="0"/>
              <w:adjustRightInd w:val="0"/>
              <w:spacing w:after="0"/>
              <w:rPr>
                <w:rFonts w:cs="Arial"/>
              </w:rPr>
            </w:pPr>
            <w:r>
              <w:rPr>
                <w:rFonts w:cs="Arial"/>
              </w:rPr>
              <w:t xml:space="preserve">(ii) </w:t>
            </w:r>
            <w:r w:rsidRPr="0064254A">
              <w:rPr>
                <w:rFonts w:cs="Arial"/>
              </w:rPr>
              <w:t>dealt in on a market in an EEA State which is regulated, operates regularly and is open to the public</w:t>
            </w:r>
            <w:r>
              <w:rPr>
                <w:rFonts w:cs="Arial"/>
              </w:rPr>
              <w:t>;</w:t>
            </w:r>
          </w:p>
          <w:p w:rsidR="0064254A" w:rsidRDefault="0064254A" w:rsidP="0064254A">
            <w:pPr>
              <w:autoSpaceDE w:val="0"/>
              <w:autoSpaceDN w:val="0"/>
              <w:adjustRightInd w:val="0"/>
              <w:spacing w:after="0"/>
              <w:rPr>
                <w:rFonts w:cs="Arial"/>
              </w:rPr>
            </w:pPr>
          </w:p>
          <w:p w:rsidR="0064254A" w:rsidRDefault="0064254A" w:rsidP="0064254A">
            <w:pPr>
              <w:autoSpaceDE w:val="0"/>
              <w:autoSpaceDN w:val="0"/>
              <w:adjustRightInd w:val="0"/>
              <w:spacing w:after="0"/>
              <w:rPr>
                <w:rFonts w:cs="Arial"/>
              </w:rPr>
            </w:pPr>
            <w:r>
              <w:rPr>
                <w:rFonts w:cs="Arial"/>
              </w:rPr>
              <w:t xml:space="preserve">(iii) </w:t>
            </w:r>
            <w:r w:rsidRPr="0064254A">
              <w:rPr>
                <w:rFonts w:cs="Arial"/>
              </w:rPr>
              <w:t>admitted to or dealt in on an eligible market which has been designated an eligible</w:t>
            </w:r>
            <w:r>
              <w:rPr>
                <w:rFonts w:cs="Arial"/>
              </w:rPr>
              <w:t xml:space="preserve"> </w:t>
            </w:r>
            <w:r w:rsidRPr="0064254A">
              <w:rPr>
                <w:rFonts w:cs="Arial"/>
              </w:rPr>
              <w:t>market by the ACD in consultation with the Depositary</w:t>
            </w:r>
            <w:r>
              <w:rPr>
                <w:rFonts w:cs="Arial"/>
              </w:rPr>
              <w:t>; or</w:t>
            </w:r>
          </w:p>
          <w:p w:rsidR="0064254A" w:rsidRDefault="0064254A" w:rsidP="0064254A">
            <w:pPr>
              <w:autoSpaceDE w:val="0"/>
              <w:autoSpaceDN w:val="0"/>
              <w:adjustRightInd w:val="0"/>
              <w:spacing w:after="0"/>
              <w:rPr>
                <w:rFonts w:cs="Arial"/>
              </w:rPr>
            </w:pPr>
          </w:p>
          <w:p w:rsidR="0064254A" w:rsidRPr="0009387C" w:rsidRDefault="0064254A" w:rsidP="0064254A">
            <w:pPr>
              <w:autoSpaceDE w:val="0"/>
              <w:autoSpaceDN w:val="0"/>
              <w:adjustRightInd w:val="0"/>
              <w:spacing w:after="0"/>
              <w:rPr>
                <w:rFonts w:cs="Arial"/>
              </w:rPr>
            </w:pPr>
            <w:r>
              <w:rPr>
                <w:rFonts w:cs="Arial"/>
              </w:rPr>
              <w:t>(iv) cash, money market instruments and deposits.  Note that the Fund can only invest in deposits with an approved bank, if it is repayable on demand or has the right to be withdrawn and matures in no more than 12 months.</w:t>
            </w: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lastRenderedPageBreak/>
              <w:t>Transferable securities that are not approved securities</w:t>
            </w:r>
          </w:p>
        </w:tc>
        <w:tc>
          <w:tcPr>
            <w:tcW w:w="3651" w:type="dxa"/>
          </w:tcPr>
          <w:p w:rsidR="009E4D35" w:rsidRPr="0009387C" w:rsidRDefault="009E4D35" w:rsidP="00D231E0">
            <w:pPr>
              <w:pStyle w:val="Body"/>
              <w:adjustRightInd w:val="0"/>
              <w:rPr>
                <w:rFonts w:ascii="Arial" w:hAnsi="Arial" w:cs="Arial"/>
                <w:sz w:val="20"/>
                <w:lang w:eastAsia="en-US"/>
              </w:rPr>
            </w:pPr>
            <w:r w:rsidRPr="0009387C">
              <w:rPr>
                <w:rFonts w:ascii="Arial" w:hAnsi="Arial" w:cs="Arial"/>
                <w:sz w:val="20"/>
                <w:lang w:eastAsia="en-US"/>
              </w:rPr>
              <w:t>Th</w:t>
            </w:r>
            <w:r w:rsidR="00F9003A">
              <w:rPr>
                <w:rFonts w:ascii="Arial" w:hAnsi="Arial" w:cs="Arial"/>
                <w:sz w:val="20"/>
                <w:lang w:eastAsia="en-US"/>
              </w:rPr>
              <w:t>e aggregate value of</w:t>
            </w:r>
            <w:r w:rsidR="00886E58">
              <w:rPr>
                <w:rFonts w:ascii="Arial" w:hAnsi="Arial" w:cs="Arial"/>
                <w:sz w:val="20"/>
                <w:lang w:eastAsia="en-US"/>
              </w:rPr>
              <w:t xml:space="preserve"> the mortgages secured on immov</w:t>
            </w:r>
            <w:r w:rsidR="00F9003A">
              <w:rPr>
                <w:rFonts w:ascii="Arial" w:hAnsi="Arial" w:cs="Arial"/>
                <w:sz w:val="20"/>
                <w:lang w:eastAsia="en-US"/>
              </w:rPr>
              <w:t>ables, the borrowing of the Fund and any transferable securities, that are not approved securities, shall not exceed 2</w:t>
            </w:r>
            <w:r w:rsidRPr="0009387C">
              <w:rPr>
                <w:rFonts w:ascii="Arial" w:hAnsi="Arial" w:cs="Arial"/>
                <w:sz w:val="20"/>
                <w:lang w:eastAsia="en-US"/>
              </w:rPr>
              <w:t xml:space="preserve">0% of </w:t>
            </w:r>
            <w:r w:rsidR="00F9003A">
              <w:rPr>
                <w:rFonts w:ascii="Arial" w:hAnsi="Arial" w:cs="Arial"/>
                <w:sz w:val="20"/>
                <w:lang w:eastAsia="en-US"/>
              </w:rPr>
              <w:t>the value of the Fund’</w:t>
            </w:r>
            <w:r w:rsidR="00511683">
              <w:rPr>
                <w:rFonts w:ascii="Arial" w:hAnsi="Arial" w:cs="Arial"/>
                <w:sz w:val="20"/>
                <w:lang w:eastAsia="en-US"/>
              </w:rPr>
              <w:t>s P</w:t>
            </w:r>
            <w:r w:rsidR="00F9003A">
              <w:rPr>
                <w:rFonts w:ascii="Arial" w:hAnsi="Arial" w:cs="Arial"/>
                <w:sz w:val="20"/>
                <w:lang w:eastAsia="en-US"/>
              </w:rPr>
              <w:t>roperty.</w:t>
            </w:r>
          </w:p>
        </w:tc>
        <w:tc>
          <w:tcPr>
            <w:tcW w:w="3690" w:type="dxa"/>
          </w:tcPr>
          <w:p w:rsidR="009E4D35" w:rsidRPr="0009387C" w:rsidRDefault="00F9003A" w:rsidP="00D54B67">
            <w:pPr>
              <w:pStyle w:val="Body"/>
              <w:adjustRightInd w:val="0"/>
              <w:rPr>
                <w:rFonts w:ascii="Arial" w:hAnsi="Arial" w:cs="Arial"/>
                <w:sz w:val="20"/>
                <w:lang w:eastAsia="en-US"/>
              </w:rPr>
            </w:pPr>
            <w:r>
              <w:rPr>
                <w:rFonts w:ascii="Arial" w:hAnsi="Arial" w:cs="Arial"/>
                <w:sz w:val="20"/>
              </w:rPr>
              <w:t xml:space="preserve">Not more than 20% in value of the </w:t>
            </w:r>
            <w:r w:rsidR="00D54B67">
              <w:rPr>
                <w:rFonts w:ascii="Arial" w:hAnsi="Arial" w:cs="Arial"/>
                <w:sz w:val="20"/>
              </w:rPr>
              <w:t>Fund’s</w:t>
            </w:r>
            <w:r>
              <w:rPr>
                <w:rFonts w:ascii="Arial" w:hAnsi="Arial" w:cs="Arial"/>
                <w:sz w:val="20"/>
              </w:rPr>
              <w:t xml:space="preserve"> Property shall consist of transferable securities (which are not approved securities) or of money market instruments and unregulated collective investment schemes.</w:t>
            </w: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t>Government and public securities</w:t>
            </w:r>
          </w:p>
        </w:tc>
        <w:tc>
          <w:tcPr>
            <w:tcW w:w="3651" w:type="dxa"/>
          </w:tcPr>
          <w:p w:rsidR="009E4D35" w:rsidRPr="0009387C" w:rsidRDefault="009E4D35" w:rsidP="00D54B67">
            <w:pPr>
              <w:pStyle w:val="Body"/>
              <w:adjustRightInd w:val="0"/>
              <w:rPr>
                <w:rFonts w:ascii="Arial" w:hAnsi="Arial" w:cs="Arial"/>
                <w:sz w:val="20"/>
                <w:lang w:eastAsia="en-US"/>
              </w:rPr>
            </w:pPr>
            <w:r w:rsidRPr="0009387C">
              <w:rPr>
                <w:rFonts w:ascii="Arial" w:hAnsi="Arial" w:cs="Arial"/>
                <w:sz w:val="20"/>
                <w:lang w:eastAsia="en-US"/>
              </w:rPr>
              <w:t xml:space="preserve">No more than 35% in value of the </w:t>
            </w:r>
            <w:r w:rsidR="00D54B67">
              <w:rPr>
                <w:rFonts w:ascii="Arial" w:hAnsi="Arial" w:cs="Arial"/>
                <w:sz w:val="20"/>
                <w:lang w:eastAsia="en-US"/>
              </w:rPr>
              <w:t>P</w:t>
            </w:r>
            <w:r w:rsidRPr="0009387C">
              <w:rPr>
                <w:rFonts w:ascii="Arial" w:hAnsi="Arial" w:cs="Arial"/>
                <w:sz w:val="20"/>
                <w:lang w:eastAsia="en-US"/>
              </w:rPr>
              <w:t>roperty of the Fund may be invested in government and public securities issued by the same issuer.</w:t>
            </w:r>
          </w:p>
        </w:tc>
        <w:tc>
          <w:tcPr>
            <w:tcW w:w="3690" w:type="dxa"/>
          </w:tcPr>
          <w:p w:rsidR="009E4D35" w:rsidRPr="0009387C" w:rsidRDefault="009E4D35" w:rsidP="0009387C">
            <w:pPr>
              <w:numPr>
                <w:ilvl w:val="2"/>
                <w:numId w:val="0"/>
              </w:numPr>
              <w:tabs>
                <w:tab w:val="num" w:pos="0"/>
              </w:tabs>
              <w:spacing w:after="0"/>
              <w:ind w:hanging="709"/>
              <w:outlineLvl w:val="2"/>
              <w:rPr>
                <w:rFonts w:cs="Arial"/>
              </w:rPr>
            </w:pPr>
            <w:r w:rsidRPr="0009387C">
              <w:rPr>
                <w:rFonts w:cs="Arial"/>
              </w:rPr>
              <w:t xml:space="preserve">Same  As for the Discontinuing Fund.  </w:t>
            </w: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t>Collective investment  Schemes</w:t>
            </w:r>
          </w:p>
        </w:tc>
        <w:tc>
          <w:tcPr>
            <w:tcW w:w="3651" w:type="dxa"/>
          </w:tcPr>
          <w:p w:rsidR="009E4D35" w:rsidRPr="0009387C" w:rsidRDefault="00F9003A" w:rsidP="00D54B67">
            <w:pPr>
              <w:pStyle w:val="Body"/>
              <w:adjustRightInd w:val="0"/>
              <w:rPr>
                <w:rFonts w:ascii="Arial" w:hAnsi="Arial" w:cs="Arial"/>
                <w:sz w:val="20"/>
                <w:lang w:eastAsia="en-US"/>
              </w:rPr>
            </w:pPr>
            <w:r>
              <w:rPr>
                <w:rFonts w:ascii="Arial" w:hAnsi="Arial" w:cs="Arial"/>
                <w:sz w:val="20"/>
                <w:lang w:eastAsia="en-US"/>
              </w:rPr>
              <w:t xml:space="preserve">No more than </w:t>
            </w:r>
            <w:r w:rsidRPr="0009387C">
              <w:rPr>
                <w:rFonts w:ascii="Arial" w:hAnsi="Arial" w:cs="Arial"/>
                <w:sz w:val="20"/>
                <w:lang w:eastAsia="en-US"/>
              </w:rPr>
              <w:t>1</w:t>
            </w:r>
            <w:r>
              <w:rPr>
                <w:rFonts w:ascii="Arial" w:hAnsi="Arial" w:cs="Arial"/>
                <w:sz w:val="20"/>
                <w:lang w:eastAsia="en-US"/>
              </w:rPr>
              <w:t>5</w:t>
            </w:r>
            <w:r w:rsidRPr="0009387C">
              <w:rPr>
                <w:rFonts w:ascii="Arial" w:hAnsi="Arial" w:cs="Arial"/>
                <w:sz w:val="20"/>
                <w:lang w:eastAsia="en-US"/>
              </w:rPr>
              <w:t>%</w:t>
            </w:r>
            <w:r w:rsidR="00D54B67">
              <w:rPr>
                <w:rFonts w:ascii="Arial" w:hAnsi="Arial" w:cs="Arial"/>
                <w:sz w:val="20"/>
                <w:lang w:eastAsia="en-US"/>
              </w:rPr>
              <w:t xml:space="preserve"> </w:t>
            </w:r>
            <w:r>
              <w:rPr>
                <w:rFonts w:ascii="Arial" w:hAnsi="Arial" w:cs="Arial"/>
                <w:sz w:val="20"/>
                <w:lang w:eastAsia="en-US"/>
              </w:rPr>
              <w:t xml:space="preserve">of the </w:t>
            </w:r>
            <w:r w:rsidR="00D54B67">
              <w:rPr>
                <w:rFonts w:ascii="Arial" w:hAnsi="Arial" w:cs="Arial"/>
                <w:sz w:val="20"/>
                <w:lang w:eastAsia="en-US"/>
              </w:rPr>
              <w:t>P</w:t>
            </w:r>
            <w:r>
              <w:rPr>
                <w:rFonts w:ascii="Arial" w:hAnsi="Arial" w:cs="Arial"/>
                <w:sz w:val="20"/>
                <w:lang w:eastAsia="en-US"/>
              </w:rPr>
              <w:t>roperty of the Fund</w:t>
            </w:r>
            <w:r w:rsidR="009E4D35" w:rsidRPr="0009387C">
              <w:rPr>
                <w:rFonts w:ascii="Arial" w:hAnsi="Arial" w:cs="Arial"/>
                <w:sz w:val="20"/>
                <w:lang w:eastAsia="en-US"/>
              </w:rPr>
              <w:t xml:space="preserve"> </w:t>
            </w:r>
            <w:r>
              <w:rPr>
                <w:rFonts w:ascii="Arial" w:hAnsi="Arial" w:cs="Arial"/>
                <w:sz w:val="20"/>
                <w:lang w:eastAsia="en-US"/>
              </w:rPr>
              <w:t>may be invested</w:t>
            </w:r>
            <w:r w:rsidR="009E4D35" w:rsidRPr="0009387C">
              <w:rPr>
                <w:rFonts w:ascii="Arial" w:hAnsi="Arial" w:cs="Arial"/>
                <w:sz w:val="20"/>
                <w:lang w:eastAsia="en-US"/>
              </w:rPr>
              <w:t xml:space="preserve"> in units in collective investment schemes</w:t>
            </w:r>
            <w:r>
              <w:rPr>
                <w:rFonts w:ascii="Arial" w:hAnsi="Arial" w:cs="Arial"/>
                <w:sz w:val="20"/>
                <w:lang w:eastAsia="en-US"/>
              </w:rPr>
              <w:t xml:space="preserve">. </w:t>
            </w:r>
          </w:p>
        </w:tc>
        <w:tc>
          <w:tcPr>
            <w:tcW w:w="3690" w:type="dxa"/>
          </w:tcPr>
          <w:p w:rsidR="009E4D35" w:rsidRPr="0009387C" w:rsidRDefault="00F9003A" w:rsidP="0009387C">
            <w:pPr>
              <w:pStyle w:val="Body"/>
              <w:adjustRightInd w:val="0"/>
              <w:rPr>
                <w:rFonts w:ascii="Arial" w:hAnsi="Arial" w:cs="Arial"/>
                <w:sz w:val="20"/>
                <w:lang w:eastAsia="en-US"/>
              </w:rPr>
            </w:pPr>
            <w:r w:rsidRPr="00F9003A">
              <w:rPr>
                <w:rFonts w:ascii="Arial" w:hAnsi="Arial" w:cs="Arial"/>
                <w:sz w:val="20"/>
                <w:lang w:eastAsia="en-US"/>
              </w:rPr>
              <w:t>As for the Discontinuing Fund.</w:t>
            </w:r>
            <w:r w:rsidRPr="0009387C">
              <w:rPr>
                <w:rFonts w:cs="Arial"/>
              </w:rPr>
              <w:t xml:space="preserve">  </w:t>
            </w: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t>Derivatives</w:t>
            </w:r>
          </w:p>
        </w:tc>
        <w:tc>
          <w:tcPr>
            <w:tcW w:w="3651" w:type="dxa"/>
          </w:tcPr>
          <w:p w:rsidR="009E4D35" w:rsidRPr="0009387C" w:rsidRDefault="009E4D35" w:rsidP="00D231E0">
            <w:pPr>
              <w:pStyle w:val="Body"/>
              <w:adjustRightInd w:val="0"/>
              <w:rPr>
                <w:rFonts w:ascii="Arial" w:hAnsi="Arial" w:cs="Arial"/>
                <w:b/>
                <w:i/>
                <w:sz w:val="20"/>
                <w:lang w:eastAsia="en-US"/>
              </w:rPr>
            </w:pPr>
            <w:r w:rsidRPr="0009387C">
              <w:rPr>
                <w:rFonts w:ascii="Arial" w:hAnsi="Arial" w:cs="Arial"/>
                <w:sz w:val="20"/>
                <w:lang w:eastAsia="en-US"/>
              </w:rPr>
              <w:t xml:space="preserve">Derivative </w:t>
            </w:r>
            <w:r w:rsidR="00D231E0">
              <w:rPr>
                <w:rFonts w:ascii="Arial" w:hAnsi="Arial" w:cs="Arial"/>
                <w:sz w:val="20"/>
                <w:lang w:eastAsia="en-US"/>
              </w:rPr>
              <w:t xml:space="preserve">and forward </w:t>
            </w:r>
            <w:r w:rsidRPr="0009387C">
              <w:rPr>
                <w:rFonts w:ascii="Arial" w:hAnsi="Arial" w:cs="Arial"/>
                <w:sz w:val="20"/>
                <w:lang w:eastAsia="en-US"/>
              </w:rPr>
              <w:t xml:space="preserve">transactions may be used </w:t>
            </w:r>
            <w:r w:rsidR="00D231E0">
              <w:rPr>
                <w:rFonts w:ascii="Arial" w:hAnsi="Arial" w:cs="Arial"/>
                <w:sz w:val="20"/>
                <w:lang w:eastAsia="en-US"/>
              </w:rPr>
              <w:t>where the Manager reasonably believes it to be economically appropriate to the efficient portfolio management of the Fund</w:t>
            </w:r>
            <w:r w:rsidRPr="0009387C">
              <w:rPr>
                <w:rFonts w:ascii="Arial" w:hAnsi="Arial" w:cs="Arial"/>
                <w:sz w:val="20"/>
                <w:lang w:eastAsia="en-US"/>
              </w:rPr>
              <w:t>.</w:t>
            </w:r>
          </w:p>
        </w:tc>
        <w:tc>
          <w:tcPr>
            <w:tcW w:w="3690" w:type="dxa"/>
          </w:tcPr>
          <w:p w:rsidR="009E4D35" w:rsidRDefault="00D231E0" w:rsidP="00D231E0">
            <w:pPr>
              <w:autoSpaceDE w:val="0"/>
              <w:autoSpaceDN w:val="0"/>
              <w:adjustRightInd w:val="0"/>
              <w:spacing w:after="0"/>
              <w:rPr>
                <w:rFonts w:cs="Arial"/>
              </w:rPr>
            </w:pPr>
            <w:r w:rsidRPr="00D231E0">
              <w:rPr>
                <w:rFonts w:cs="Arial"/>
              </w:rPr>
              <w:t>Derivative instruments and forward foreign exchange contracts may be used for the purposes of</w:t>
            </w:r>
            <w:r>
              <w:rPr>
                <w:rFonts w:cs="Arial"/>
              </w:rPr>
              <w:t xml:space="preserve"> </w:t>
            </w:r>
            <w:r w:rsidRPr="00D231E0">
              <w:rPr>
                <w:rFonts w:cs="Arial"/>
              </w:rPr>
              <w:t>efficient portfolio management and currency hedging. As the market in property derivatives</w:t>
            </w:r>
            <w:r>
              <w:rPr>
                <w:rFonts w:cs="Arial"/>
              </w:rPr>
              <w:t xml:space="preserve"> </w:t>
            </w:r>
            <w:r w:rsidRPr="00D231E0">
              <w:rPr>
                <w:rFonts w:cs="Arial"/>
              </w:rPr>
              <w:t>develops, derivatives may be used outside of efficient portfolio management to meet the</w:t>
            </w:r>
            <w:r>
              <w:rPr>
                <w:rFonts w:cs="Arial"/>
              </w:rPr>
              <w:t xml:space="preserve"> </w:t>
            </w:r>
            <w:r w:rsidRPr="00D231E0">
              <w:rPr>
                <w:rFonts w:cs="Arial"/>
              </w:rPr>
              <w:t>Company's investment objective</w:t>
            </w:r>
            <w:r w:rsidR="00A01844">
              <w:rPr>
                <w:rFonts w:cs="Arial"/>
              </w:rPr>
              <w:t>.</w:t>
            </w:r>
            <w:r>
              <w:rPr>
                <w:rFonts w:cs="Arial"/>
              </w:rPr>
              <w:t xml:space="preserve">  </w:t>
            </w:r>
            <w:r w:rsidRPr="00D231E0">
              <w:rPr>
                <w:rFonts w:cs="Arial"/>
              </w:rPr>
              <w:t xml:space="preserve">If the </w:t>
            </w:r>
            <w:r w:rsidR="00D54B67">
              <w:rPr>
                <w:rFonts w:cs="Arial"/>
              </w:rPr>
              <w:t>m</w:t>
            </w:r>
            <w:r w:rsidRPr="00D231E0">
              <w:rPr>
                <w:rFonts w:cs="Arial"/>
              </w:rPr>
              <w:t>anger decides to use derivatives for purposes outside of</w:t>
            </w:r>
            <w:r>
              <w:rPr>
                <w:rFonts w:cs="Arial"/>
              </w:rPr>
              <w:t xml:space="preserve"> </w:t>
            </w:r>
            <w:r w:rsidRPr="00D231E0">
              <w:rPr>
                <w:rFonts w:cs="Arial"/>
              </w:rPr>
              <w:t>efficient portfolio management, the ACD will give notice to Shareholders</w:t>
            </w:r>
            <w:r>
              <w:rPr>
                <w:rFonts w:cs="Arial"/>
              </w:rPr>
              <w:t>.</w:t>
            </w:r>
          </w:p>
          <w:p w:rsidR="00D231E0" w:rsidRPr="0009387C" w:rsidRDefault="00D231E0" w:rsidP="00D231E0">
            <w:pPr>
              <w:autoSpaceDE w:val="0"/>
              <w:autoSpaceDN w:val="0"/>
              <w:adjustRightInd w:val="0"/>
              <w:spacing w:after="0"/>
              <w:jc w:val="left"/>
              <w:rPr>
                <w:rFonts w:cs="Arial"/>
              </w:rPr>
            </w:pP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t>Immovables (i.e. real property)</w:t>
            </w:r>
          </w:p>
        </w:tc>
        <w:tc>
          <w:tcPr>
            <w:tcW w:w="3651" w:type="dxa"/>
          </w:tcPr>
          <w:p w:rsidR="009E4D35" w:rsidRPr="0009387C" w:rsidRDefault="007C56F5" w:rsidP="007C56F5">
            <w:pPr>
              <w:pStyle w:val="Body"/>
              <w:adjustRightInd w:val="0"/>
              <w:rPr>
                <w:rFonts w:ascii="Arial" w:hAnsi="Arial" w:cs="Arial"/>
                <w:sz w:val="20"/>
                <w:lang w:eastAsia="en-US"/>
              </w:rPr>
            </w:pPr>
            <w:r>
              <w:rPr>
                <w:rFonts w:ascii="Arial" w:hAnsi="Arial" w:cs="Arial"/>
                <w:sz w:val="20"/>
                <w:lang w:eastAsia="en-US"/>
              </w:rPr>
              <w:t>The Fund will invest between 65% and 100% of its property in immovables.</w:t>
            </w:r>
          </w:p>
        </w:tc>
        <w:tc>
          <w:tcPr>
            <w:tcW w:w="3690" w:type="dxa"/>
          </w:tcPr>
          <w:p w:rsidR="007C56F5" w:rsidRDefault="007C56F5" w:rsidP="007C56F5">
            <w:pPr>
              <w:autoSpaceDE w:val="0"/>
              <w:autoSpaceDN w:val="0"/>
              <w:adjustRightInd w:val="0"/>
              <w:spacing w:after="0"/>
              <w:rPr>
                <w:rFonts w:cs="Arial"/>
              </w:rPr>
            </w:pPr>
            <w:r w:rsidRPr="007C56F5">
              <w:rPr>
                <w:rFonts w:cs="Arial"/>
              </w:rPr>
              <w:t xml:space="preserve">The Fund may invest up to 100% in value of the </w:t>
            </w:r>
            <w:r w:rsidR="00D54B67">
              <w:rPr>
                <w:rFonts w:cs="Arial"/>
              </w:rPr>
              <w:t>Fund’s</w:t>
            </w:r>
            <w:r w:rsidRPr="007C56F5">
              <w:rPr>
                <w:rFonts w:cs="Arial"/>
              </w:rPr>
              <w:t xml:space="preserve"> Property in eligible immovables, but</w:t>
            </w:r>
            <w:r>
              <w:rPr>
                <w:rFonts w:cs="Arial"/>
              </w:rPr>
              <w:t xml:space="preserve"> </w:t>
            </w:r>
            <w:r w:rsidRPr="007C56F5">
              <w:rPr>
                <w:rFonts w:cs="Arial"/>
              </w:rPr>
              <w:t xml:space="preserve">will typically invest no </w:t>
            </w:r>
            <w:r w:rsidRPr="007C56F5">
              <w:rPr>
                <w:rFonts w:cs="Arial"/>
              </w:rPr>
              <w:lastRenderedPageBreak/>
              <w:t>more than 90% of the value of the Property in immovables.</w:t>
            </w:r>
          </w:p>
          <w:p w:rsidR="009E4D35" w:rsidRPr="0009387C" w:rsidRDefault="009E4D35" w:rsidP="007C56F5">
            <w:pPr>
              <w:autoSpaceDE w:val="0"/>
              <w:autoSpaceDN w:val="0"/>
              <w:adjustRightInd w:val="0"/>
              <w:spacing w:after="0"/>
              <w:rPr>
                <w:rFonts w:cs="Arial"/>
              </w:rPr>
            </w:pP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lastRenderedPageBreak/>
              <w:t>Stock lending</w:t>
            </w:r>
          </w:p>
        </w:tc>
        <w:tc>
          <w:tcPr>
            <w:tcW w:w="3651" w:type="dxa"/>
          </w:tcPr>
          <w:p w:rsidR="009E4D35" w:rsidRPr="0009387C" w:rsidRDefault="009E4D35" w:rsidP="007C56F5">
            <w:pPr>
              <w:pStyle w:val="Body"/>
              <w:adjustRightInd w:val="0"/>
              <w:rPr>
                <w:rFonts w:ascii="Arial" w:hAnsi="Arial" w:cs="Arial"/>
                <w:sz w:val="20"/>
                <w:lang w:eastAsia="en-US"/>
              </w:rPr>
            </w:pPr>
            <w:r w:rsidRPr="0009387C">
              <w:rPr>
                <w:rFonts w:ascii="Arial" w:hAnsi="Arial" w:cs="Arial"/>
                <w:sz w:val="20"/>
                <w:lang w:eastAsia="en-US"/>
              </w:rPr>
              <w:t>The Fund has power to engage in stock</w:t>
            </w:r>
            <w:r w:rsidR="00D54B67">
              <w:rPr>
                <w:rFonts w:ascii="Arial" w:hAnsi="Arial" w:cs="Arial"/>
                <w:sz w:val="20"/>
                <w:lang w:eastAsia="en-US"/>
              </w:rPr>
              <w:t xml:space="preserve"> </w:t>
            </w:r>
            <w:r w:rsidRPr="0009387C">
              <w:rPr>
                <w:rFonts w:ascii="Arial" w:hAnsi="Arial" w:cs="Arial"/>
                <w:sz w:val="20"/>
                <w:lang w:eastAsia="en-US"/>
              </w:rPr>
              <w:t>lending in the manner permitted by, and subject to the requirements of, the Sourcebook.  The power may be exercised for the purpose of efficient portfolio management.  There is no limitation on the value of the property of the Fund that may be the subject of permitted stock</w:t>
            </w:r>
            <w:r w:rsidR="00D54B67">
              <w:rPr>
                <w:rFonts w:ascii="Arial" w:hAnsi="Arial" w:cs="Arial"/>
                <w:sz w:val="20"/>
                <w:lang w:eastAsia="en-US"/>
              </w:rPr>
              <w:t xml:space="preserve"> </w:t>
            </w:r>
            <w:r w:rsidRPr="0009387C">
              <w:rPr>
                <w:rFonts w:ascii="Arial" w:hAnsi="Arial" w:cs="Arial"/>
                <w:sz w:val="20"/>
                <w:lang w:eastAsia="en-US"/>
              </w:rPr>
              <w:t>lending transactions. However, currently the Fund does not engage in stock</w:t>
            </w:r>
            <w:r w:rsidR="00D54B67">
              <w:rPr>
                <w:rFonts w:ascii="Arial" w:hAnsi="Arial" w:cs="Arial"/>
                <w:sz w:val="20"/>
                <w:lang w:eastAsia="en-US"/>
              </w:rPr>
              <w:t xml:space="preserve"> </w:t>
            </w:r>
            <w:r w:rsidRPr="0009387C">
              <w:rPr>
                <w:rFonts w:ascii="Arial" w:hAnsi="Arial" w:cs="Arial"/>
                <w:sz w:val="20"/>
                <w:lang w:eastAsia="en-US"/>
              </w:rPr>
              <w:t>lending and the Manager does not anticipate that the Fund will engage in stocklending in the future.</w:t>
            </w:r>
          </w:p>
        </w:tc>
        <w:tc>
          <w:tcPr>
            <w:tcW w:w="3690" w:type="dxa"/>
          </w:tcPr>
          <w:p w:rsidR="009E4D35" w:rsidRPr="0009387C" w:rsidRDefault="007C56F5" w:rsidP="007C56F5">
            <w:pPr>
              <w:autoSpaceDE w:val="0"/>
              <w:autoSpaceDN w:val="0"/>
              <w:adjustRightInd w:val="0"/>
              <w:spacing w:after="0"/>
              <w:rPr>
                <w:rFonts w:cs="Arial"/>
              </w:rPr>
            </w:pPr>
            <w:r w:rsidRPr="007C56F5">
              <w:rPr>
                <w:rFonts w:cs="Arial"/>
              </w:rPr>
              <w:t xml:space="preserve">The </w:t>
            </w:r>
            <w:r>
              <w:rPr>
                <w:rFonts w:cs="Arial"/>
              </w:rPr>
              <w:t>Fund</w:t>
            </w:r>
            <w:r w:rsidRPr="007C56F5">
              <w:rPr>
                <w:rFonts w:cs="Arial"/>
              </w:rPr>
              <w:t xml:space="preserve"> may enter into stock lending transactions. However, the power must only</w:t>
            </w:r>
            <w:r>
              <w:rPr>
                <w:rFonts w:cs="Arial"/>
              </w:rPr>
              <w:t xml:space="preserve"> </w:t>
            </w:r>
            <w:r w:rsidRPr="007C56F5">
              <w:rPr>
                <w:rFonts w:cs="Arial"/>
              </w:rPr>
              <w:t>be exercised where it reasonably appears to the ACD to be appropriate to do so with a</w:t>
            </w:r>
            <w:r>
              <w:rPr>
                <w:rFonts w:cs="Arial"/>
              </w:rPr>
              <w:t xml:space="preserve"> </w:t>
            </w:r>
            <w:r w:rsidRPr="007C56F5">
              <w:rPr>
                <w:rFonts w:cs="Arial"/>
              </w:rPr>
              <w:t xml:space="preserve">view to the generation of capital or income for the </w:t>
            </w:r>
            <w:r>
              <w:rPr>
                <w:rFonts w:cs="Arial"/>
              </w:rPr>
              <w:t>Fund</w:t>
            </w:r>
            <w:r w:rsidRPr="007C56F5">
              <w:rPr>
                <w:rFonts w:cs="Arial"/>
              </w:rPr>
              <w:t xml:space="preserve"> with an acceptable degree of</w:t>
            </w:r>
            <w:r>
              <w:rPr>
                <w:rFonts w:cs="Arial"/>
              </w:rPr>
              <w:t xml:space="preserve"> </w:t>
            </w:r>
            <w:r w:rsidRPr="007C56F5">
              <w:rPr>
                <w:rFonts w:cs="Arial"/>
              </w:rPr>
              <w:t>risk.</w:t>
            </w:r>
            <w:r>
              <w:rPr>
                <w:rFonts w:cs="Arial"/>
              </w:rPr>
              <w:t xml:space="preserve"> T</w:t>
            </w:r>
            <w:r w:rsidRPr="007C56F5">
              <w:rPr>
                <w:rFonts w:cs="Arial"/>
              </w:rPr>
              <w:t xml:space="preserve">here is no limit on the value of the property of the </w:t>
            </w:r>
            <w:r>
              <w:rPr>
                <w:rFonts w:cs="Arial"/>
              </w:rPr>
              <w:t>Fund</w:t>
            </w:r>
            <w:r w:rsidRPr="007C56F5">
              <w:rPr>
                <w:rFonts w:cs="Arial"/>
              </w:rPr>
              <w:t xml:space="preserve"> which may be</w:t>
            </w:r>
            <w:r>
              <w:rPr>
                <w:rFonts w:cs="Arial"/>
              </w:rPr>
              <w:t xml:space="preserve"> </w:t>
            </w:r>
            <w:r w:rsidRPr="007C56F5">
              <w:rPr>
                <w:rFonts w:cs="Arial"/>
              </w:rPr>
              <w:t>the subject of stock lending transactions.</w:t>
            </w: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t>Borrowing</w:t>
            </w:r>
          </w:p>
        </w:tc>
        <w:tc>
          <w:tcPr>
            <w:tcW w:w="3651" w:type="dxa"/>
          </w:tcPr>
          <w:p w:rsidR="009E4D35" w:rsidRPr="0009387C" w:rsidRDefault="009E4D35" w:rsidP="00D54B67">
            <w:pPr>
              <w:pStyle w:val="Body"/>
              <w:adjustRightInd w:val="0"/>
              <w:rPr>
                <w:rFonts w:ascii="Arial" w:hAnsi="Arial" w:cs="Arial"/>
                <w:i/>
                <w:sz w:val="20"/>
                <w:lang w:eastAsia="en-US"/>
              </w:rPr>
            </w:pPr>
            <w:r w:rsidRPr="0009387C">
              <w:rPr>
                <w:rFonts w:ascii="Arial" w:hAnsi="Arial" w:cs="Arial"/>
                <w:sz w:val="20"/>
                <w:lang w:eastAsia="en-US"/>
              </w:rPr>
              <w:t xml:space="preserve">Subject to the Sourcebook, the Fund may borrow to meet redemption and settlement mismatches, although it is not expected that significant use will be made of borrowing. Such borrowing may only be made from an eligible institution or approved bank and must be on a temporary basis only; no period of borrowing may exceed three months without the prior consent of the Trustee (which may only give such consent on conditions as appear to the Trustee appropriate to ensure that the borrowing does not cease to be on a temporary basis).  Borrowing must not, on any Business Day, exceed 10% of the value of the </w:t>
            </w:r>
            <w:r w:rsidR="00D54B67">
              <w:rPr>
                <w:rFonts w:ascii="Arial" w:hAnsi="Arial" w:cs="Arial"/>
                <w:sz w:val="20"/>
                <w:lang w:eastAsia="en-US"/>
              </w:rPr>
              <w:t>P</w:t>
            </w:r>
            <w:r w:rsidRPr="0009387C">
              <w:rPr>
                <w:rFonts w:ascii="Arial" w:hAnsi="Arial" w:cs="Arial"/>
                <w:sz w:val="20"/>
                <w:lang w:eastAsia="en-US"/>
              </w:rPr>
              <w:t xml:space="preserve">roperty of the Fund.  As well as applying to borrowing in a conventional manner, the 10% limit applies to any other arrangement designed to achieve a temporary injection of money into the </w:t>
            </w:r>
            <w:r w:rsidR="00D54B67">
              <w:rPr>
                <w:rFonts w:ascii="Arial" w:hAnsi="Arial" w:cs="Arial"/>
                <w:sz w:val="20"/>
                <w:lang w:eastAsia="en-US"/>
              </w:rPr>
              <w:t>P</w:t>
            </w:r>
            <w:r w:rsidRPr="0009387C">
              <w:rPr>
                <w:rFonts w:ascii="Arial" w:hAnsi="Arial" w:cs="Arial"/>
                <w:sz w:val="20"/>
                <w:lang w:eastAsia="en-US"/>
              </w:rPr>
              <w:t>roperty of the Fund, in the expectation that such will be repaid, for example by way of a combination of derivatives which produces an effect similar to borrowings.</w:t>
            </w:r>
          </w:p>
        </w:tc>
        <w:tc>
          <w:tcPr>
            <w:tcW w:w="3690" w:type="dxa"/>
          </w:tcPr>
          <w:p w:rsidR="009E4D35" w:rsidRPr="0009387C" w:rsidRDefault="007C56F5" w:rsidP="007C56F5">
            <w:pPr>
              <w:tabs>
                <w:tab w:val="num" w:pos="0"/>
              </w:tabs>
              <w:spacing w:after="0"/>
              <w:outlineLvl w:val="2"/>
              <w:rPr>
                <w:rFonts w:cs="Arial"/>
                <w:lang w:eastAsia="en-GB"/>
              </w:rPr>
            </w:pPr>
            <w:r w:rsidRPr="007C56F5">
              <w:rPr>
                <w:rFonts w:cs="Arial"/>
                <w:lang w:eastAsia="en-GB"/>
              </w:rPr>
              <w:t xml:space="preserve">The </w:t>
            </w:r>
            <w:r>
              <w:rPr>
                <w:rFonts w:cs="Arial"/>
                <w:lang w:eastAsia="en-GB"/>
              </w:rPr>
              <w:t>Fund</w:t>
            </w:r>
            <w:r w:rsidRPr="007C56F5">
              <w:rPr>
                <w:rFonts w:cs="Arial"/>
                <w:lang w:eastAsia="en-GB"/>
              </w:rPr>
              <w:t xml:space="preserve"> may</w:t>
            </w:r>
            <w:r>
              <w:rPr>
                <w:rFonts w:cs="Arial"/>
                <w:lang w:eastAsia="en-GB"/>
              </w:rPr>
              <w:t xml:space="preserve"> </w:t>
            </w:r>
            <w:r w:rsidRPr="007C56F5">
              <w:rPr>
                <w:rFonts w:cs="Arial"/>
                <w:lang w:eastAsia="en-GB"/>
              </w:rPr>
              <w:t>borrow money for the use of the</w:t>
            </w:r>
            <w:r>
              <w:rPr>
                <w:rFonts w:cs="Arial"/>
                <w:lang w:eastAsia="en-GB"/>
              </w:rPr>
              <w:t xml:space="preserve"> Fund</w:t>
            </w:r>
            <w:r w:rsidRPr="007C56F5">
              <w:rPr>
                <w:rFonts w:cs="Arial"/>
                <w:lang w:eastAsia="en-GB"/>
              </w:rPr>
              <w:t xml:space="preserve"> on terms that the borrowing is to be repayable out of the Scheme Property.</w:t>
            </w:r>
            <w:r>
              <w:rPr>
                <w:rFonts w:cs="Arial"/>
                <w:lang w:eastAsia="en-GB"/>
              </w:rPr>
              <w:t xml:space="preserve"> </w:t>
            </w:r>
            <w:r w:rsidRPr="007C56F5">
              <w:rPr>
                <w:rFonts w:cs="Arial"/>
                <w:lang w:eastAsia="en-GB"/>
              </w:rPr>
              <w:t xml:space="preserve">This power to borrow is subject to the obligation of the </w:t>
            </w:r>
            <w:r>
              <w:rPr>
                <w:rFonts w:cs="Arial"/>
                <w:lang w:eastAsia="en-GB"/>
              </w:rPr>
              <w:t>Fund</w:t>
            </w:r>
            <w:r w:rsidRPr="007C56F5">
              <w:rPr>
                <w:rFonts w:cs="Arial"/>
                <w:lang w:eastAsia="en-GB"/>
              </w:rPr>
              <w:t xml:space="preserve"> to comply with any</w:t>
            </w:r>
            <w:r>
              <w:rPr>
                <w:rFonts w:cs="Arial"/>
                <w:lang w:eastAsia="en-GB"/>
              </w:rPr>
              <w:t xml:space="preserve"> </w:t>
            </w:r>
            <w:r w:rsidRPr="007C56F5">
              <w:rPr>
                <w:rFonts w:cs="Arial"/>
                <w:lang w:eastAsia="en-GB"/>
              </w:rPr>
              <w:t xml:space="preserve">restriction in the Instrument of Incorporation constituting the </w:t>
            </w:r>
            <w:r>
              <w:rPr>
                <w:rFonts w:cs="Arial"/>
                <w:lang w:eastAsia="en-GB"/>
              </w:rPr>
              <w:t>Fund</w:t>
            </w:r>
            <w:r w:rsidRPr="007C56F5">
              <w:rPr>
                <w:rFonts w:cs="Arial"/>
                <w:lang w:eastAsia="en-GB"/>
              </w:rPr>
              <w:t>. The Depositary</w:t>
            </w:r>
            <w:r>
              <w:rPr>
                <w:rFonts w:cs="Arial"/>
                <w:lang w:eastAsia="en-GB"/>
              </w:rPr>
              <w:t xml:space="preserve"> </w:t>
            </w:r>
            <w:r w:rsidRPr="007C56F5">
              <w:rPr>
                <w:rFonts w:cs="Arial"/>
                <w:lang w:eastAsia="en-GB"/>
              </w:rPr>
              <w:t>may borrow money only from an Eligible Institution or an Approved Bank</w:t>
            </w:r>
            <w:r w:rsidR="009E4D35" w:rsidRPr="0009387C">
              <w:rPr>
                <w:rFonts w:cs="Arial"/>
                <w:lang w:eastAsia="en-GB"/>
              </w:rPr>
              <w:t xml:space="preserve">. </w:t>
            </w:r>
          </w:p>
          <w:p w:rsidR="009E4D35" w:rsidRPr="0009387C" w:rsidRDefault="009E4D35" w:rsidP="0009387C">
            <w:pPr>
              <w:tabs>
                <w:tab w:val="num" w:pos="0"/>
              </w:tabs>
              <w:spacing w:after="0"/>
              <w:ind w:hanging="709"/>
              <w:rPr>
                <w:rFonts w:cs="Arial"/>
                <w:lang w:eastAsia="en-GB"/>
              </w:rPr>
            </w:pPr>
          </w:p>
          <w:p w:rsidR="007C56F5" w:rsidRPr="007C56F5" w:rsidRDefault="007C56F5" w:rsidP="007C56F5">
            <w:pPr>
              <w:autoSpaceDE w:val="0"/>
              <w:autoSpaceDN w:val="0"/>
              <w:adjustRightInd w:val="0"/>
              <w:spacing w:after="0"/>
              <w:rPr>
                <w:rFonts w:cs="Arial"/>
              </w:rPr>
            </w:pPr>
            <w:r w:rsidRPr="007C56F5">
              <w:rPr>
                <w:rFonts w:cs="Arial"/>
              </w:rPr>
              <w:t>The ACD must ensure that the Company’s borrowing (financial leverage) does not, on any</w:t>
            </w:r>
            <w:r>
              <w:rPr>
                <w:rFonts w:cs="Arial"/>
              </w:rPr>
              <w:t xml:space="preserve"> </w:t>
            </w:r>
            <w:r w:rsidRPr="007C56F5">
              <w:rPr>
                <w:rFonts w:cs="Arial"/>
              </w:rPr>
              <w:t xml:space="preserve">business day, exceed 10% of the value of the </w:t>
            </w:r>
            <w:r w:rsidR="00D54B67">
              <w:rPr>
                <w:rFonts w:cs="Arial"/>
              </w:rPr>
              <w:t>Fund’s</w:t>
            </w:r>
            <w:r w:rsidRPr="007C56F5">
              <w:rPr>
                <w:rFonts w:cs="Arial"/>
              </w:rPr>
              <w:t xml:space="preserve"> Property. For these purposes</w:t>
            </w:r>
          </w:p>
          <w:p w:rsidR="009E4D35" w:rsidRPr="0009387C" w:rsidRDefault="007C56F5" w:rsidP="00D54B67">
            <w:pPr>
              <w:autoSpaceDE w:val="0"/>
              <w:autoSpaceDN w:val="0"/>
              <w:adjustRightInd w:val="0"/>
              <w:spacing w:after="0"/>
              <w:rPr>
                <w:rFonts w:cs="Arial"/>
                <w:lang w:eastAsia="en-GB"/>
              </w:rPr>
            </w:pPr>
            <w:r w:rsidRPr="007C56F5">
              <w:rPr>
                <w:rFonts w:cs="Arial"/>
              </w:rPr>
              <w:t>borrowing does not include back to back borrowing whereby currency is borrowed but</w:t>
            </w:r>
            <w:r>
              <w:rPr>
                <w:rFonts w:cs="Arial"/>
              </w:rPr>
              <w:t xml:space="preserve"> </w:t>
            </w:r>
            <w:r w:rsidRPr="007C56F5">
              <w:rPr>
                <w:rFonts w:cs="Arial"/>
              </w:rPr>
              <w:t>secured by an equal amount of another currency</w:t>
            </w:r>
            <w:r w:rsidR="00D54B67">
              <w:rPr>
                <w:rFonts w:cs="Arial"/>
              </w:rPr>
              <w:t>.</w:t>
            </w:r>
          </w:p>
        </w:tc>
      </w:tr>
      <w:tr w:rsidR="009E4D35" w:rsidRPr="0009387C" w:rsidTr="00200DA1">
        <w:tc>
          <w:tcPr>
            <w:tcW w:w="1839" w:type="dxa"/>
          </w:tcPr>
          <w:p w:rsidR="009E4D35" w:rsidRPr="0009387C" w:rsidRDefault="009E4D35" w:rsidP="0009387C">
            <w:pPr>
              <w:pStyle w:val="Body"/>
              <w:adjustRightInd w:val="0"/>
              <w:rPr>
                <w:rFonts w:ascii="Arial" w:hAnsi="Arial" w:cs="Arial"/>
                <w:sz w:val="20"/>
                <w:lang w:eastAsia="en-US"/>
              </w:rPr>
            </w:pPr>
            <w:r w:rsidRPr="0009387C">
              <w:rPr>
                <w:rFonts w:ascii="Arial" w:hAnsi="Arial" w:cs="Arial"/>
                <w:sz w:val="20"/>
                <w:lang w:eastAsia="en-US"/>
              </w:rPr>
              <w:t>Cash and near cash</w:t>
            </w:r>
          </w:p>
        </w:tc>
        <w:tc>
          <w:tcPr>
            <w:tcW w:w="3651" w:type="dxa"/>
          </w:tcPr>
          <w:p w:rsidR="003238AE" w:rsidRDefault="003238AE" w:rsidP="003238AE">
            <w:pPr>
              <w:pStyle w:val="Default"/>
              <w:rPr>
                <w:sz w:val="20"/>
                <w:szCs w:val="20"/>
              </w:rPr>
            </w:pPr>
            <w:r>
              <w:rPr>
                <w:sz w:val="20"/>
                <w:lang w:eastAsia="en-US"/>
              </w:rPr>
              <w:t xml:space="preserve">The Fund will normally invest </w:t>
            </w:r>
            <w:r>
              <w:rPr>
                <w:sz w:val="20"/>
                <w:szCs w:val="20"/>
              </w:rPr>
              <w:t>less than 15% of its assets in cash or near cash instruments although this level may increase in the event of abnormal market conditions or high levels of redemptions or subscriptions.</w:t>
            </w:r>
          </w:p>
          <w:p w:rsidR="003238AE" w:rsidRDefault="003238AE" w:rsidP="003238AE">
            <w:pPr>
              <w:pStyle w:val="Default"/>
              <w:rPr>
                <w:sz w:val="20"/>
                <w:szCs w:val="20"/>
              </w:rPr>
            </w:pPr>
          </w:p>
          <w:p w:rsidR="009E4D35" w:rsidRPr="00F664E2" w:rsidRDefault="00F664E2" w:rsidP="0009387C">
            <w:pPr>
              <w:pStyle w:val="Body"/>
              <w:adjustRightInd w:val="0"/>
              <w:rPr>
                <w:rFonts w:ascii="Arial" w:hAnsi="Arial" w:cs="Arial"/>
                <w:sz w:val="20"/>
                <w:lang w:eastAsia="en-US"/>
              </w:rPr>
            </w:pPr>
            <w:r w:rsidRPr="00F664E2">
              <w:rPr>
                <w:rFonts w:ascii="Arial" w:hAnsi="Arial" w:cs="Arial"/>
                <w:sz w:val="20"/>
                <w:lang w:eastAsia="en-US"/>
              </w:rPr>
              <w:t xml:space="preserve">Cash forming part of the property of a Fund or standing to the credit of the distribution account may be placed in any current, deposit or loan account with the Depositary, the ACD or any investment adviser or any associate of </w:t>
            </w:r>
            <w:r w:rsidRPr="00F664E2">
              <w:rPr>
                <w:rFonts w:ascii="Arial" w:hAnsi="Arial" w:cs="Arial"/>
                <w:sz w:val="20"/>
                <w:lang w:eastAsia="en-US"/>
              </w:rPr>
              <w:lastRenderedPageBreak/>
              <w:t>any of them provided it is an eligible institution or approved bank and the arrangements are at least as favourable to the Fund concerned as would be those of any comparable arrangements effected on normal commercial terms negotiated at arm’s-length between two independent parties.</w:t>
            </w:r>
          </w:p>
        </w:tc>
        <w:tc>
          <w:tcPr>
            <w:tcW w:w="3690" w:type="dxa"/>
          </w:tcPr>
          <w:p w:rsidR="00F664E2" w:rsidRPr="0009387C" w:rsidRDefault="009E4D35" w:rsidP="003238AE">
            <w:pPr>
              <w:numPr>
                <w:ilvl w:val="2"/>
                <w:numId w:val="0"/>
              </w:numPr>
              <w:tabs>
                <w:tab w:val="num" w:pos="0"/>
              </w:tabs>
              <w:spacing w:after="0"/>
              <w:ind w:hanging="709"/>
              <w:outlineLvl w:val="2"/>
              <w:rPr>
                <w:rFonts w:cs="Arial"/>
                <w:lang w:eastAsia="en-GB"/>
              </w:rPr>
            </w:pPr>
            <w:r w:rsidRPr="0009387C">
              <w:rPr>
                <w:rFonts w:cs="Arial"/>
                <w:lang w:eastAsia="en-GB"/>
              </w:rPr>
              <w:lastRenderedPageBreak/>
              <w:t xml:space="preserve">             </w:t>
            </w:r>
            <w:r w:rsidR="003238AE" w:rsidRPr="003238AE">
              <w:rPr>
                <w:rFonts w:cs="Arial"/>
                <w:lang w:eastAsia="en-GB"/>
              </w:rPr>
              <w:t>Cash and near cash may only be held where it may reasonably be regarded as necessary</w:t>
            </w:r>
            <w:r w:rsidR="003238AE">
              <w:rPr>
                <w:rFonts w:cs="Arial"/>
                <w:lang w:eastAsia="en-GB"/>
              </w:rPr>
              <w:t xml:space="preserve"> </w:t>
            </w:r>
            <w:r w:rsidR="003238AE" w:rsidRPr="003238AE">
              <w:rPr>
                <w:rFonts w:cs="Arial"/>
                <w:lang w:eastAsia="en-GB"/>
              </w:rPr>
              <w:t xml:space="preserve">to enable the pursuit of the </w:t>
            </w:r>
            <w:r w:rsidR="003238AE">
              <w:rPr>
                <w:rFonts w:cs="Arial"/>
                <w:lang w:eastAsia="en-GB"/>
              </w:rPr>
              <w:t>Fund</w:t>
            </w:r>
            <w:r w:rsidR="003238AE" w:rsidRPr="003238AE">
              <w:rPr>
                <w:rFonts w:cs="Arial"/>
                <w:lang w:eastAsia="en-GB"/>
              </w:rPr>
              <w:t>’s investment objective, the redemption of Shares,</w:t>
            </w:r>
            <w:r w:rsidR="003238AE">
              <w:rPr>
                <w:rFonts w:cs="Arial"/>
                <w:lang w:eastAsia="en-GB"/>
              </w:rPr>
              <w:t xml:space="preserve"> </w:t>
            </w:r>
            <w:r w:rsidR="003238AE" w:rsidRPr="003238AE">
              <w:rPr>
                <w:rFonts w:cs="Arial"/>
                <w:lang w:eastAsia="en-GB"/>
              </w:rPr>
              <w:t xml:space="preserve">the efficient management of the </w:t>
            </w:r>
            <w:r w:rsidR="003238AE">
              <w:rPr>
                <w:rFonts w:cs="Arial"/>
                <w:lang w:eastAsia="en-GB"/>
              </w:rPr>
              <w:t>Fund</w:t>
            </w:r>
            <w:r w:rsidR="003238AE" w:rsidRPr="003238AE">
              <w:rPr>
                <w:rFonts w:cs="Arial"/>
                <w:lang w:eastAsia="en-GB"/>
              </w:rPr>
              <w:t xml:space="preserve"> or other purposes which may reasonably be</w:t>
            </w:r>
            <w:r w:rsidR="003238AE">
              <w:rPr>
                <w:rFonts w:cs="Arial"/>
                <w:lang w:eastAsia="en-GB"/>
              </w:rPr>
              <w:t xml:space="preserve"> </w:t>
            </w:r>
            <w:r w:rsidR="003238AE" w:rsidRPr="003238AE">
              <w:rPr>
                <w:rFonts w:cs="Arial"/>
                <w:lang w:eastAsia="en-GB"/>
              </w:rPr>
              <w:t xml:space="preserve">regarded as ancillary to the investment objective of the </w:t>
            </w:r>
            <w:r w:rsidR="003238AE">
              <w:rPr>
                <w:rFonts w:cs="Arial"/>
                <w:lang w:eastAsia="en-GB"/>
              </w:rPr>
              <w:t>Fund</w:t>
            </w:r>
            <w:r w:rsidR="00F664E2" w:rsidRPr="0009387C">
              <w:rPr>
                <w:rFonts w:cs="Arial"/>
                <w:lang w:eastAsia="en-GB"/>
              </w:rPr>
              <w:t xml:space="preserve">. </w:t>
            </w:r>
          </w:p>
          <w:p w:rsidR="009E4D35" w:rsidRPr="0009387C" w:rsidRDefault="009E4D35" w:rsidP="0009387C">
            <w:pPr>
              <w:pStyle w:val="Body"/>
              <w:adjustRightInd w:val="0"/>
              <w:rPr>
                <w:rFonts w:ascii="Arial" w:hAnsi="Arial" w:cs="Arial"/>
                <w:sz w:val="20"/>
                <w:lang w:eastAsia="en-US"/>
              </w:rPr>
            </w:pPr>
          </w:p>
        </w:tc>
      </w:tr>
    </w:tbl>
    <w:p w:rsidR="009E4D35" w:rsidRPr="0009387C" w:rsidRDefault="009E4D35" w:rsidP="0009387C">
      <w:pPr>
        <w:spacing w:after="0"/>
        <w:rPr>
          <w:rFonts w:cs="Arial"/>
        </w:rPr>
      </w:pPr>
    </w:p>
    <w:p w:rsidR="009E4D35" w:rsidRPr="0009387C" w:rsidRDefault="009E4D35" w:rsidP="0009387C">
      <w:pPr>
        <w:keepNext/>
        <w:rPr>
          <w:rFonts w:cs="Arial"/>
          <w:b/>
        </w:rPr>
      </w:pPr>
      <w:r w:rsidRPr="0009387C">
        <w:rPr>
          <w:rFonts w:cs="Arial"/>
          <w:b/>
        </w:rPr>
        <w:t>Key Terms</w:t>
      </w:r>
    </w:p>
    <w:p w:rsidR="009E4D35" w:rsidRPr="0009387C" w:rsidRDefault="009E4D35" w:rsidP="0009387C">
      <w:pPr>
        <w:rPr>
          <w:rFonts w:cs="Arial"/>
        </w:rPr>
      </w:pPr>
      <w:r w:rsidRPr="0009387C">
        <w:rPr>
          <w:rFonts w:cs="Arial"/>
        </w:rPr>
        <w:t xml:space="preserve">The Key Terms of the relevant Unit classes in the Discontinuing Fund and the Share classes in the Continuing Fund are as follows. </w:t>
      </w:r>
    </w:p>
    <w:tbl>
      <w:tblPr>
        <w:tblpPr w:leftFromText="180" w:rightFromText="180" w:vertAnchor="text" w:horzAnchor="margin" w:tblpX="-355" w:tblpY="122"/>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4140"/>
        <w:gridCol w:w="3965"/>
      </w:tblGrid>
      <w:tr w:rsidR="009E4D35" w:rsidRPr="0009387C" w:rsidTr="003D4FDA">
        <w:trPr>
          <w:cantSplit/>
          <w:trHeight w:val="368"/>
        </w:trPr>
        <w:tc>
          <w:tcPr>
            <w:tcW w:w="2250" w:type="dxa"/>
            <w:shd w:val="clear" w:color="auto" w:fill="BFBFBF" w:themeFill="background1" w:themeFillShade="BF"/>
          </w:tcPr>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shd w:val="clear" w:color="auto" w:fill="BFBFBF" w:themeFill="background1" w:themeFillShade="BF"/>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Discontinuing Fund</w:t>
            </w:r>
          </w:p>
        </w:tc>
        <w:tc>
          <w:tcPr>
            <w:tcW w:w="3965" w:type="dxa"/>
            <w:shd w:val="clear" w:color="auto" w:fill="BFBFBF" w:themeFill="background1" w:themeFillShade="BF"/>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Continuing Fund</w:t>
            </w:r>
          </w:p>
        </w:tc>
      </w:tr>
      <w:tr w:rsidR="009E4D35" w:rsidRPr="0009387C" w:rsidTr="003D4FDA">
        <w:trPr>
          <w:cantSplit/>
          <w:trHeight w:val="368"/>
        </w:trPr>
        <w:tc>
          <w:tcPr>
            <w:tcW w:w="2250" w:type="dxa"/>
            <w:shd w:val="clear" w:color="auto" w:fill="BFBFBF" w:themeFill="background1" w:themeFillShade="BF"/>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Fund name</w:t>
            </w:r>
          </w:p>
        </w:tc>
        <w:tc>
          <w:tcPr>
            <w:tcW w:w="4140" w:type="dxa"/>
            <w:shd w:val="clear" w:color="auto" w:fill="BFBFBF" w:themeFill="background1" w:themeFillShade="BF"/>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 xml:space="preserve">Old Mutual </w:t>
            </w:r>
            <w:r w:rsidR="00F507AF">
              <w:rPr>
                <w:rFonts w:cs="Arial"/>
                <w:b/>
                <w:bCs/>
                <w:color w:val="000000"/>
                <w:lang w:eastAsia="en-GB"/>
              </w:rPr>
              <w:t>Property</w:t>
            </w:r>
            <w:r w:rsidRPr="0009387C">
              <w:rPr>
                <w:rFonts w:cs="Arial"/>
                <w:b/>
                <w:bCs/>
                <w:color w:val="000000"/>
                <w:lang w:eastAsia="en-GB"/>
              </w:rPr>
              <w:t xml:space="preserve"> Fund</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3965" w:type="dxa"/>
            <w:shd w:val="clear" w:color="auto" w:fill="BFBFBF" w:themeFill="background1" w:themeFillShade="BF"/>
          </w:tcPr>
          <w:p w:rsidR="009E4D35" w:rsidRPr="0009387C" w:rsidRDefault="00D54B67" w:rsidP="0009387C">
            <w:pPr>
              <w:autoSpaceDE w:val="0"/>
              <w:autoSpaceDN w:val="0"/>
              <w:adjustRightInd w:val="0"/>
              <w:spacing w:after="0"/>
              <w:jc w:val="center"/>
              <w:rPr>
                <w:rFonts w:cs="Arial"/>
                <w:b/>
                <w:bCs/>
                <w:color w:val="000000"/>
                <w:lang w:eastAsia="en-GB"/>
              </w:rPr>
            </w:pPr>
            <w:r>
              <w:rPr>
                <w:rFonts w:cs="Arial"/>
                <w:b/>
              </w:rPr>
              <w:t>Henderson UK Property OEIC</w:t>
            </w:r>
          </w:p>
        </w:tc>
      </w:tr>
      <w:tr w:rsidR="009E4D35" w:rsidRPr="0009387C" w:rsidTr="003D4FDA">
        <w:trPr>
          <w:cantSplit/>
        </w:trPr>
        <w:tc>
          <w:tcPr>
            <w:tcW w:w="2250" w:type="dxa"/>
            <w:shd w:val="clear" w:color="auto" w:fill="BFBFBF" w:themeFill="background1" w:themeFillShade="BF"/>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Unit / Share class</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shd w:val="clear" w:color="auto" w:fill="BFBFBF" w:themeFill="background1" w:themeFillShade="BF"/>
          </w:tcPr>
          <w:p w:rsidR="009E4D35" w:rsidRPr="003D4FDA" w:rsidRDefault="009E4D35" w:rsidP="0009387C">
            <w:pPr>
              <w:autoSpaceDE w:val="0"/>
              <w:autoSpaceDN w:val="0"/>
              <w:adjustRightInd w:val="0"/>
              <w:spacing w:after="0"/>
              <w:jc w:val="center"/>
              <w:rPr>
                <w:rFonts w:cs="Arial"/>
                <w:b/>
                <w:bCs/>
                <w:color w:val="000000"/>
                <w:lang w:eastAsia="en-GB"/>
              </w:rPr>
            </w:pPr>
            <w:r w:rsidRPr="003D4FDA">
              <w:rPr>
                <w:rFonts w:cs="Arial"/>
                <w:b/>
                <w:bCs/>
                <w:color w:val="000000"/>
                <w:lang w:eastAsia="en-GB"/>
              </w:rPr>
              <w:t>Class A (GBP) Accumulation Units</w:t>
            </w:r>
            <w:r w:rsidR="00CF35C2" w:rsidRPr="003D4FDA">
              <w:rPr>
                <w:rFonts w:cs="Arial"/>
                <w:b/>
                <w:bCs/>
                <w:color w:val="000000"/>
                <w:lang w:eastAsia="en-GB"/>
              </w:rPr>
              <w:t xml:space="preserve"> and </w:t>
            </w:r>
            <w:r w:rsidR="00CF35C2" w:rsidRPr="003D4FDA">
              <w:rPr>
                <w:rFonts w:cs="Arial"/>
                <w:b/>
                <w:bCs/>
                <w:color w:val="000000"/>
                <w:lang w:eastAsia="en-GB"/>
              </w:rPr>
              <w:br/>
              <w:t xml:space="preserve">Class A (GBP) Income Units </w:t>
            </w:r>
          </w:p>
          <w:p w:rsidR="009E4D35" w:rsidRPr="003D4FDA" w:rsidRDefault="009E4D35" w:rsidP="0009387C">
            <w:pPr>
              <w:autoSpaceDE w:val="0"/>
              <w:autoSpaceDN w:val="0"/>
              <w:adjustRightInd w:val="0"/>
              <w:spacing w:after="0"/>
              <w:jc w:val="center"/>
              <w:rPr>
                <w:rFonts w:cs="Arial"/>
                <w:b/>
                <w:bCs/>
                <w:color w:val="000000"/>
                <w:lang w:eastAsia="en-GB"/>
              </w:rPr>
            </w:pPr>
          </w:p>
        </w:tc>
        <w:tc>
          <w:tcPr>
            <w:tcW w:w="3965" w:type="dxa"/>
            <w:shd w:val="clear" w:color="auto" w:fill="BFBFBF" w:themeFill="background1" w:themeFillShade="BF"/>
          </w:tcPr>
          <w:p w:rsidR="009E4D35" w:rsidRPr="003D4FDA" w:rsidRDefault="009E4D35" w:rsidP="0009387C">
            <w:pPr>
              <w:autoSpaceDE w:val="0"/>
              <w:autoSpaceDN w:val="0"/>
              <w:adjustRightInd w:val="0"/>
              <w:spacing w:after="0"/>
              <w:jc w:val="center"/>
              <w:rPr>
                <w:rFonts w:cs="Arial"/>
                <w:b/>
                <w:bCs/>
                <w:color w:val="000000"/>
                <w:lang w:eastAsia="en-GB"/>
              </w:rPr>
            </w:pPr>
            <w:r w:rsidRPr="003D4FDA">
              <w:rPr>
                <w:rFonts w:cs="Arial"/>
                <w:b/>
                <w:bCs/>
                <w:color w:val="000000"/>
                <w:lang w:eastAsia="en-GB"/>
              </w:rPr>
              <w:t xml:space="preserve">Class </w:t>
            </w:r>
            <w:r w:rsidR="00CF35C2" w:rsidRPr="003D4FDA">
              <w:rPr>
                <w:rFonts w:cs="Arial"/>
                <w:b/>
                <w:bCs/>
                <w:color w:val="000000"/>
                <w:lang w:eastAsia="en-GB"/>
              </w:rPr>
              <w:t>A</w:t>
            </w:r>
            <w:r w:rsidRPr="003D4FDA">
              <w:rPr>
                <w:rFonts w:cs="Arial"/>
                <w:b/>
                <w:bCs/>
                <w:color w:val="000000"/>
                <w:lang w:eastAsia="en-GB"/>
              </w:rPr>
              <w:t xml:space="preserve"> </w:t>
            </w:r>
            <w:r w:rsidR="00CF35C2" w:rsidRPr="003D4FDA">
              <w:rPr>
                <w:rFonts w:cs="Arial"/>
                <w:b/>
                <w:bCs/>
                <w:color w:val="000000"/>
                <w:lang w:eastAsia="en-GB"/>
              </w:rPr>
              <w:t xml:space="preserve">Accumulation and Income </w:t>
            </w:r>
          </w:p>
          <w:p w:rsidR="009E4D35" w:rsidRPr="003D4FDA" w:rsidRDefault="009E4D35" w:rsidP="0009387C">
            <w:pPr>
              <w:autoSpaceDE w:val="0"/>
              <w:autoSpaceDN w:val="0"/>
              <w:adjustRightInd w:val="0"/>
              <w:spacing w:after="0"/>
              <w:jc w:val="center"/>
              <w:rPr>
                <w:rFonts w:cs="Arial"/>
                <w:b/>
                <w:bCs/>
                <w:color w:val="000000"/>
                <w:lang w:eastAsia="en-GB"/>
              </w:rPr>
            </w:pP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Currency</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9E4D35" w:rsidP="0009387C">
            <w:pPr>
              <w:autoSpaceDE w:val="0"/>
              <w:autoSpaceDN w:val="0"/>
              <w:adjustRightInd w:val="0"/>
              <w:spacing w:after="0"/>
              <w:jc w:val="center"/>
              <w:rPr>
                <w:rFonts w:cs="Arial"/>
                <w:bCs/>
                <w:color w:val="000000"/>
                <w:lang w:eastAsia="en-GB"/>
              </w:rPr>
            </w:pPr>
            <w:r w:rsidRPr="00C6577B">
              <w:rPr>
                <w:rFonts w:cs="Arial"/>
                <w:bCs/>
                <w:color w:val="000000"/>
                <w:lang w:eastAsia="en-GB"/>
              </w:rPr>
              <w:t>Sterling</w:t>
            </w:r>
          </w:p>
        </w:tc>
        <w:tc>
          <w:tcPr>
            <w:tcW w:w="3965" w:type="dxa"/>
          </w:tcPr>
          <w:p w:rsidR="009E4D35" w:rsidRPr="00C6577B" w:rsidRDefault="00CF35C2" w:rsidP="0009387C">
            <w:pPr>
              <w:autoSpaceDE w:val="0"/>
              <w:autoSpaceDN w:val="0"/>
              <w:adjustRightInd w:val="0"/>
              <w:spacing w:after="0"/>
              <w:jc w:val="center"/>
              <w:rPr>
                <w:rFonts w:cs="Arial"/>
                <w:bCs/>
                <w:color w:val="000000"/>
                <w:lang w:eastAsia="en-GB"/>
              </w:rPr>
            </w:pPr>
            <w:r w:rsidRPr="00C6577B">
              <w:rPr>
                <w:rFonts w:cs="Arial"/>
              </w:rPr>
              <w:t>Sterling</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Initial charge</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9E4D35" w:rsidP="0009387C">
            <w:pPr>
              <w:spacing w:after="0"/>
              <w:jc w:val="center"/>
              <w:rPr>
                <w:rFonts w:cs="Arial"/>
              </w:rPr>
            </w:pPr>
            <w:r w:rsidRPr="00C6577B">
              <w:rPr>
                <w:rFonts w:cs="Arial"/>
              </w:rPr>
              <w:t>5.00%</w:t>
            </w:r>
          </w:p>
        </w:tc>
        <w:tc>
          <w:tcPr>
            <w:tcW w:w="3965" w:type="dxa"/>
          </w:tcPr>
          <w:p w:rsidR="009E4D35" w:rsidRPr="00C6577B" w:rsidRDefault="00CF35C2" w:rsidP="0009387C">
            <w:pPr>
              <w:spacing w:after="0"/>
              <w:jc w:val="center"/>
              <w:rPr>
                <w:rFonts w:cs="Arial"/>
              </w:rPr>
            </w:pPr>
            <w:r w:rsidRPr="00C6577B">
              <w:rPr>
                <w:rFonts w:cs="Arial"/>
              </w:rPr>
              <w:t>5.00%</w:t>
            </w:r>
          </w:p>
        </w:tc>
      </w:tr>
      <w:tr w:rsidR="00822309" w:rsidRPr="0009387C" w:rsidTr="00CF35C2">
        <w:trPr>
          <w:cantSplit/>
        </w:trPr>
        <w:tc>
          <w:tcPr>
            <w:tcW w:w="2250" w:type="dxa"/>
          </w:tcPr>
          <w:p w:rsidR="00822309" w:rsidRPr="0009387C" w:rsidRDefault="00822309" w:rsidP="0009387C">
            <w:pPr>
              <w:autoSpaceDE w:val="0"/>
              <w:autoSpaceDN w:val="0"/>
              <w:adjustRightInd w:val="0"/>
              <w:spacing w:after="0"/>
              <w:jc w:val="center"/>
              <w:rPr>
                <w:rFonts w:cs="Arial"/>
                <w:b/>
                <w:bCs/>
                <w:color w:val="000000"/>
                <w:lang w:eastAsia="en-GB"/>
              </w:rPr>
            </w:pPr>
            <w:r>
              <w:rPr>
                <w:rFonts w:cs="Arial"/>
                <w:b/>
                <w:bCs/>
                <w:color w:val="000000"/>
                <w:lang w:eastAsia="en-GB"/>
              </w:rPr>
              <w:t>Ongoing charges</w:t>
            </w:r>
          </w:p>
        </w:tc>
        <w:tc>
          <w:tcPr>
            <w:tcW w:w="4140" w:type="dxa"/>
          </w:tcPr>
          <w:p w:rsidR="00822309" w:rsidRPr="00C6577B" w:rsidRDefault="00BB6E27" w:rsidP="0009387C">
            <w:pPr>
              <w:spacing w:after="0"/>
              <w:jc w:val="center"/>
              <w:rPr>
                <w:rFonts w:cs="Arial"/>
              </w:rPr>
            </w:pPr>
            <w:r w:rsidRPr="00C6577B">
              <w:rPr>
                <w:rFonts w:cs="Arial"/>
              </w:rPr>
              <w:t>Class A (GBP) Accumulation Units – 2.48%</w:t>
            </w:r>
          </w:p>
          <w:p w:rsidR="00BB6E27" w:rsidRPr="00C6577B" w:rsidRDefault="00BB6E27" w:rsidP="0009387C">
            <w:pPr>
              <w:spacing w:after="0"/>
              <w:jc w:val="center"/>
              <w:rPr>
                <w:rFonts w:cs="Arial"/>
              </w:rPr>
            </w:pPr>
          </w:p>
          <w:p w:rsidR="00BB6E27" w:rsidRPr="00C6577B" w:rsidRDefault="00BB6E27" w:rsidP="0009387C">
            <w:pPr>
              <w:spacing w:after="0"/>
              <w:jc w:val="center"/>
              <w:rPr>
                <w:rFonts w:cs="Arial"/>
              </w:rPr>
            </w:pPr>
            <w:r w:rsidRPr="00C6577B">
              <w:rPr>
                <w:rFonts w:cs="Arial"/>
              </w:rPr>
              <w:t>Class A (GBP) Income Units – 2.50%</w:t>
            </w:r>
          </w:p>
        </w:tc>
        <w:tc>
          <w:tcPr>
            <w:tcW w:w="3965" w:type="dxa"/>
          </w:tcPr>
          <w:p w:rsidR="00822309" w:rsidRPr="00C6577B" w:rsidRDefault="00822309" w:rsidP="0009387C">
            <w:pPr>
              <w:spacing w:after="0"/>
              <w:jc w:val="center"/>
              <w:rPr>
                <w:rFonts w:cs="Arial"/>
              </w:rPr>
            </w:pPr>
            <w:r w:rsidRPr="00C6577B">
              <w:rPr>
                <w:rFonts w:cs="Arial"/>
              </w:rPr>
              <w:t>1.</w:t>
            </w:r>
            <w:r w:rsidR="00C6577B" w:rsidRPr="00C6577B">
              <w:rPr>
                <w:rFonts w:cs="Arial"/>
              </w:rPr>
              <w:t>80</w:t>
            </w:r>
            <w:r w:rsidRPr="00C6577B">
              <w:rPr>
                <w:rFonts w:cs="Arial"/>
              </w:rPr>
              <w:t>%</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Annual management charge</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EE2615" w:rsidP="0009387C">
            <w:pPr>
              <w:spacing w:after="0"/>
              <w:jc w:val="center"/>
              <w:rPr>
                <w:rFonts w:cs="Arial"/>
              </w:rPr>
            </w:pPr>
            <w:r w:rsidRPr="00C6577B">
              <w:rPr>
                <w:rFonts w:cs="Arial"/>
              </w:rPr>
              <w:t>1.35</w:t>
            </w:r>
            <w:r w:rsidR="009E4D35" w:rsidRPr="00C6577B">
              <w:rPr>
                <w:rFonts w:cs="Arial"/>
              </w:rPr>
              <w:t>%</w:t>
            </w:r>
          </w:p>
          <w:p w:rsidR="009E4D35" w:rsidRPr="00C6577B" w:rsidRDefault="009E4D35" w:rsidP="0009387C">
            <w:pPr>
              <w:jc w:val="center"/>
              <w:rPr>
                <w:rFonts w:cs="Arial"/>
              </w:rPr>
            </w:pPr>
          </w:p>
        </w:tc>
        <w:tc>
          <w:tcPr>
            <w:tcW w:w="3965" w:type="dxa"/>
          </w:tcPr>
          <w:p w:rsidR="009E4D35" w:rsidRPr="00C6577B" w:rsidRDefault="00CF35C2" w:rsidP="0009387C">
            <w:pPr>
              <w:spacing w:after="0"/>
              <w:jc w:val="center"/>
              <w:rPr>
                <w:rFonts w:cs="Arial"/>
              </w:rPr>
            </w:pPr>
            <w:r w:rsidRPr="00C6577B">
              <w:rPr>
                <w:rFonts w:cs="Arial"/>
              </w:rPr>
              <w:t>1.50</w:t>
            </w:r>
            <w:r w:rsidR="009E4D35" w:rsidRPr="00C6577B">
              <w:rPr>
                <w:rFonts w:cs="Arial"/>
              </w:rPr>
              <w:t>%</w:t>
            </w:r>
          </w:p>
          <w:p w:rsidR="009E4D35" w:rsidRPr="00C6577B" w:rsidRDefault="009E4D35" w:rsidP="0009387C">
            <w:pPr>
              <w:spacing w:after="0"/>
              <w:jc w:val="center"/>
              <w:rPr>
                <w:rFonts w:cs="Arial"/>
              </w:rPr>
            </w:pPr>
          </w:p>
        </w:tc>
      </w:tr>
      <w:tr w:rsidR="009E4D35" w:rsidRPr="0009387C" w:rsidTr="00CF35C2">
        <w:trPr>
          <w:cantSplit/>
        </w:trPr>
        <w:tc>
          <w:tcPr>
            <w:tcW w:w="2250" w:type="dxa"/>
          </w:tcPr>
          <w:p w:rsidR="009E4D35" w:rsidRPr="0009387C" w:rsidRDefault="00EE2615" w:rsidP="0009387C">
            <w:pPr>
              <w:autoSpaceDE w:val="0"/>
              <w:autoSpaceDN w:val="0"/>
              <w:adjustRightInd w:val="0"/>
              <w:spacing w:after="0"/>
              <w:jc w:val="center"/>
              <w:rPr>
                <w:rFonts w:cs="Arial"/>
                <w:b/>
                <w:bCs/>
                <w:color w:val="000000"/>
                <w:lang w:eastAsia="en-GB"/>
              </w:rPr>
            </w:pPr>
            <w:r>
              <w:rPr>
                <w:rFonts w:cs="Arial"/>
                <w:b/>
                <w:bCs/>
                <w:color w:val="000000"/>
                <w:lang w:eastAsia="en-GB"/>
              </w:rPr>
              <w:t>Trustee</w:t>
            </w:r>
            <w:r w:rsidR="009E4D35" w:rsidRPr="0009387C">
              <w:rPr>
                <w:rFonts w:cs="Arial"/>
                <w:b/>
                <w:bCs/>
                <w:color w:val="000000"/>
                <w:lang w:eastAsia="en-GB"/>
              </w:rPr>
              <w:t xml:space="preserve"> / Depositary fee</w:t>
            </w:r>
          </w:p>
        </w:tc>
        <w:tc>
          <w:tcPr>
            <w:tcW w:w="4140" w:type="dxa"/>
          </w:tcPr>
          <w:p w:rsidR="009E4D35" w:rsidRPr="00C6577B" w:rsidRDefault="009E4D35" w:rsidP="0009387C">
            <w:pPr>
              <w:spacing w:after="0"/>
              <w:jc w:val="center"/>
              <w:rPr>
                <w:rFonts w:cs="Arial"/>
              </w:rPr>
            </w:pPr>
            <w:r w:rsidRPr="00C6577B">
              <w:rPr>
                <w:rFonts w:cs="Arial"/>
              </w:rPr>
              <w:t>Periodic fee of 0.0105% per annum</w:t>
            </w:r>
          </w:p>
          <w:p w:rsidR="009E4D35" w:rsidRPr="00C6577B" w:rsidRDefault="009E4D35" w:rsidP="0009387C">
            <w:pPr>
              <w:spacing w:after="0"/>
              <w:jc w:val="center"/>
              <w:rPr>
                <w:rFonts w:cs="Arial"/>
              </w:rPr>
            </w:pPr>
          </w:p>
          <w:p w:rsidR="00CF35C2" w:rsidRPr="00C6577B" w:rsidRDefault="00CF35C2" w:rsidP="0009387C">
            <w:pPr>
              <w:spacing w:after="0"/>
              <w:jc w:val="center"/>
              <w:rPr>
                <w:rFonts w:cs="Arial"/>
              </w:rPr>
            </w:pPr>
          </w:p>
          <w:p w:rsidR="009E4D35" w:rsidRPr="00C6577B" w:rsidRDefault="009E4D35" w:rsidP="0009387C">
            <w:pPr>
              <w:spacing w:after="0"/>
              <w:jc w:val="center"/>
              <w:rPr>
                <w:rFonts w:cs="Arial"/>
              </w:rPr>
            </w:pPr>
            <w:r w:rsidRPr="00C6577B">
              <w:rPr>
                <w:rFonts w:cs="Arial"/>
              </w:rPr>
              <w:t>Transaction Charges:  £5 to £</w:t>
            </w:r>
            <w:r w:rsidR="00EE2615" w:rsidRPr="00C6577B">
              <w:rPr>
                <w:rFonts w:cs="Arial"/>
              </w:rPr>
              <w:t>550</w:t>
            </w:r>
          </w:p>
          <w:p w:rsidR="009E4D35" w:rsidRPr="00C6577B" w:rsidRDefault="009E4D35" w:rsidP="00EE2615">
            <w:pPr>
              <w:spacing w:after="0"/>
              <w:jc w:val="center"/>
              <w:rPr>
                <w:rFonts w:cs="Arial"/>
              </w:rPr>
            </w:pPr>
            <w:r w:rsidRPr="00C6577B">
              <w:rPr>
                <w:rFonts w:cs="Arial"/>
              </w:rPr>
              <w:t>Custody Charges: 0.00</w:t>
            </w:r>
            <w:r w:rsidR="00EE2615" w:rsidRPr="00C6577B">
              <w:rPr>
                <w:rFonts w:cs="Arial"/>
              </w:rPr>
              <w:t>5</w:t>
            </w:r>
            <w:r w:rsidRPr="00C6577B">
              <w:rPr>
                <w:rFonts w:cs="Arial"/>
              </w:rPr>
              <w:t xml:space="preserve">% to </w:t>
            </w:r>
            <w:r w:rsidR="00EE2615" w:rsidRPr="00C6577B">
              <w:rPr>
                <w:rFonts w:cs="Arial"/>
              </w:rPr>
              <w:t>3</w:t>
            </w:r>
            <w:r w:rsidRPr="00C6577B">
              <w:rPr>
                <w:rFonts w:cs="Arial"/>
              </w:rPr>
              <w:t xml:space="preserve">% per annum </w:t>
            </w:r>
          </w:p>
        </w:tc>
        <w:tc>
          <w:tcPr>
            <w:tcW w:w="3965" w:type="dxa"/>
          </w:tcPr>
          <w:p w:rsidR="00EE2615" w:rsidRPr="00C6577B" w:rsidRDefault="00CF35C2" w:rsidP="0009387C">
            <w:pPr>
              <w:spacing w:after="0"/>
              <w:jc w:val="center"/>
              <w:rPr>
                <w:rFonts w:cs="Arial"/>
              </w:rPr>
            </w:pPr>
            <w:r w:rsidRPr="00C6577B">
              <w:rPr>
                <w:rFonts w:cs="Arial"/>
              </w:rPr>
              <w:t>0.02% for the first £200m and 0.015% for the remaining balance per annum</w:t>
            </w:r>
          </w:p>
          <w:p w:rsidR="00CF35C2" w:rsidRPr="00C6577B" w:rsidRDefault="00CF35C2" w:rsidP="0009387C">
            <w:pPr>
              <w:spacing w:after="0"/>
              <w:jc w:val="center"/>
              <w:rPr>
                <w:rFonts w:cs="Arial"/>
              </w:rPr>
            </w:pPr>
          </w:p>
          <w:p w:rsidR="00CF35C2" w:rsidRPr="00C6577B" w:rsidRDefault="00CF35C2" w:rsidP="00CF35C2">
            <w:pPr>
              <w:spacing w:after="0"/>
              <w:jc w:val="center"/>
              <w:rPr>
                <w:rFonts w:cs="Arial"/>
              </w:rPr>
            </w:pPr>
            <w:r w:rsidRPr="00C6577B">
              <w:rPr>
                <w:rFonts w:cs="Arial"/>
              </w:rPr>
              <w:t>Transaction Charges:  £8 to £80</w:t>
            </w:r>
          </w:p>
          <w:p w:rsidR="00CF35C2" w:rsidRPr="00C6577B" w:rsidRDefault="00CF35C2" w:rsidP="0009387C">
            <w:pPr>
              <w:spacing w:after="0"/>
              <w:jc w:val="center"/>
              <w:rPr>
                <w:rFonts w:cs="Arial"/>
              </w:rPr>
            </w:pPr>
            <w:r w:rsidRPr="00C6577B">
              <w:rPr>
                <w:rFonts w:cs="Arial"/>
              </w:rPr>
              <w:t>Custody Charges: 0.0022% to 0.5% per annum</w:t>
            </w:r>
          </w:p>
          <w:p w:rsidR="00CF35C2" w:rsidRPr="00C6577B" w:rsidRDefault="00CF35C2" w:rsidP="0009387C">
            <w:pPr>
              <w:spacing w:after="0"/>
              <w:jc w:val="center"/>
              <w:rPr>
                <w:rFonts w:cs="Arial"/>
              </w:rPr>
            </w:pPr>
          </w:p>
        </w:tc>
      </w:tr>
      <w:tr w:rsidR="009E4D35" w:rsidRPr="00E84A4B"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Annual administration fee</w:t>
            </w:r>
          </w:p>
        </w:tc>
        <w:tc>
          <w:tcPr>
            <w:tcW w:w="4140" w:type="dxa"/>
          </w:tcPr>
          <w:p w:rsidR="009E4D35" w:rsidRPr="00C6577B" w:rsidRDefault="009E4D35" w:rsidP="0009387C">
            <w:pPr>
              <w:jc w:val="center"/>
              <w:rPr>
                <w:rFonts w:cs="Arial"/>
              </w:rPr>
            </w:pPr>
            <w:r w:rsidRPr="00C6577B">
              <w:rPr>
                <w:rFonts w:cs="Arial"/>
              </w:rPr>
              <w:t>Between 0.03% to 0.49% per annum</w:t>
            </w:r>
          </w:p>
        </w:tc>
        <w:tc>
          <w:tcPr>
            <w:tcW w:w="3965" w:type="dxa"/>
          </w:tcPr>
          <w:p w:rsidR="009E4D35" w:rsidRPr="00C6577B" w:rsidRDefault="00CF35C2" w:rsidP="0009387C">
            <w:pPr>
              <w:jc w:val="center"/>
              <w:rPr>
                <w:rFonts w:cs="Arial"/>
              </w:rPr>
            </w:pPr>
            <w:r w:rsidRPr="00C6577B">
              <w:rPr>
                <w:rFonts w:cs="Arial"/>
              </w:rPr>
              <w:t>0.14%</w:t>
            </w:r>
            <w:r w:rsidR="00075D95" w:rsidRPr="00075D95">
              <w:rPr>
                <w:rFonts w:cs="Arial"/>
                <w:vertAlign w:val="superscript"/>
              </w:rPr>
              <w:t>+</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single investment amount</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9E4D35" w:rsidP="00EE2615">
            <w:pPr>
              <w:jc w:val="center"/>
              <w:rPr>
                <w:rFonts w:cs="Arial"/>
              </w:rPr>
            </w:pPr>
            <w:r w:rsidRPr="00C6577B">
              <w:rPr>
                <w:rFonts w:cs="Arial"/>
              </w:rPr>
              <w:t>£</w:t>
            </w:r>
            <w:r w:rsidR="00EE2615" w:rsidRPr="00C6577B">
              <w:rPr>
                <w:rFonts w:cs="Arial"/>
              </w:rPr>
              <w:t>1,000</w:t>
            </w:r>
          </w:p>
        </w:tc>
        <w:tc>
          <w:tcPr>
            <w:tcW w:w="3965" w:type="dxa"/>
          </w:tcPr>
          <w:p w:rsidR="009E4D35" w:rsidRPr="00C6577B" w:rsidRDefault="00CF35C2" w:rsidP="0009387C">
            <w:pPr>
              <w:jc w:val="center"/>
              <w:rPr>
                <w:rFonts w:cs="Arial"/>
              </w:rPr>
            </w:pPr>
            <w:r w:rsidRPr="00C6577B">
              <w:rPr>
                <w:rFonts w:cs="Arial"/>
              </w:rPr>
              <w:t>£1,000</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additional investment amount</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9E4D35" w:rsidP="00EE2615">
            <w:pPr>
              <w:jc w:val="center"/>
              <w:rPr>
                <w:rFonts w:cs="Arial"/>
              </w:rPr>
            </w:pPr>
            <w:r w:rsidRPr="00C6577B">
              <w:rPr>
                <w:rFonts w:cs="Arial"/>
              </w:rPr>
              <w:t>£</w:t>
            </w:r>
            <w:r w:rsidR="00EE2615" w:rsidRPr="00C6577B">
              <w:rPr>
                <w:rFonts w:cs="Arial"/>
              </w:rPr>
              <w:t>500</w:t>
            </w:r>
          </w:p>
        </w:tc>
        <w:tc>
          <w:tcPr>
            <w:tcW w:w="3965" w:type="dxa"/>
          </w:tcPr>
          <w:p w:rsidR="009E4D35" w:rsidRPr="00C6577B" w:rsidRDefault="00CF35C2" w:rsidP="0009387C">
            <w:pPr>
              <w:jc w:val="center"/>
              <w:rPr>
                <w:rFonts w:cs="Arial"/>
              </w:rPr>
            </w:pPr>
            <w:r w:rsidRPr="00C6577B">
              <w:rPr>
                <w:rFonts w:cs="Arial"/>
              </w:rPr>
              <w:t>£100</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withdrawal amount</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EE2615" w:rsidP="0009387C">
            <w:pPr>
              <w:jc w:val="center"/>
              <w:rPr>
                <w:rFonts w:cs="Arial"/>
              </w:rPr>
            </w:pPr>
            <w:r w:rsidRPr="00C6577B">
              <w:rPr>
                <w:rFonts w:cs="Arial"/>
              </w:rPr>
              <w:t>Subject to minimum holding below</w:t>
            </w:r>
          </w:p>
        </w:tc>
        <w:tc>
          <w:tcPr>
            <w:tcW w:w="3965" w:type="dxa"/>
          </w:tcPr>
          <w:p w:rsidR="009E4D35" w:rsidRPr="00C6577B" w:rsidRDefault="00CF35C2" w:rsidP="0009387C">
            <w:pPr>
              <w:jc w:val="center"/>
              <w:rPr>
                <w:rFonts w:cs="Arial"/>
              </w:rPr>
            </w:pPr>
            <w:r w:rsidRPr="00C6577B">
              <w:rPr>
                <w:rFonts w:cs="Arial"/>
              </w:rPr>
              <w:t>£100</w:t>
            </w:r>
          </w:p>
        </w:tc>
      </w:tr>
      <w:tr w:rsidR="00CF35C2" w:rsidRPr="0009387C" w:rsidTr="00CF35C2">
        <w:trPr>
          <w:cantSplit/>
        </w:trPr>
        <w:tc>
          <w:tcPr>
            <w:tcW w:w="2250" w:type="dxa"/>
          </w:tcPr>
          <w:p w:rsidR="00CF35C2" w:rsidRPr="0009387C" w:rsidRDefault="00CF35C2" w:rsidP="00CF35C2">
            <w:pPr>
              <w:autoSpaceDE w:val="0"/>
              <w:autoSpaceDN w:val="0"/>
              <w:adjustRightInd w:val="0"/>
              <w:spacing w:after="0"/>
              <w:jc w:val="center"/>
              <w:rPr>
                <w:rFonts w:cs="Arial"/>
                <w:b/>
                <w:bCs/>
                <w:color w:val="000000"/>
                <w:lang w:eastAsia="en-GB"/>
              </w:rPr>
            </w:pPr>
            <w:r w:rsidRPr="0009387C">
              <w:rPr>
                <w:rFonts w:cs="Arial"/>
                <w:b/>
                <w:bCs/>
                <w:color w:val="000000"/>
                <w:lang w:eastAsia="en-GB"/>
              </w:rPr>
              <w:t>Minimum balance</w:t>
            </w:r>
          </w:p>
          <w:p w:rsidR="00CF35C2" w:rsidRPr="0009387C" w:rsidRDefault="00CF35C2" w:rsidP="00CF35C2">
            <w:pPr>
              <w:autoSpaceDE w:val="0"/>
              <w:autoSpaceDN w:val="0"/>
              <w:adjustRightInd w:val="0"/>
              <w:spacing w:after="0"/>
              <w:jc w:val="center"/>
              <w:rPr>
                <w:rFonts w:cs="Arial"/>
                <w:b/>
                <w:bCs/>
                <w:color w:val="000000"/>
                <w:lang w:eastAsia="en-GB"/>
              </w:rPr>
            </w:pPr>
          </w:p>
        </w:tc>
        <w:tc>
          <w:tcPr>
            <w:tcW w:w="4140" w:type="dxa"/>
          </w:tcPr>
          <w:p w:rsidR="00CF35C2" w:rsidRPr="00C6577B" w:rsidRDefault="00CF35C2" w:rsidP="00CF35C2">
            <w:pPr>
              <w:jc w:val="center"/>
              <w:rPr>
                <w:rFonts w:cs="Arial"/>
              </w:rPr>
            </w:pPr>
            <w:r w:rsidRPr="00C6577B">
              <w:rPr>
                <w:rFonts w:cs="Arial"/>
              </w:rPr>
              <w:t>£1,000</w:t>
            </w:r>
          </w:p>
        </w:tc>
        <w:tc>
          <w:tcPr>
            <w:tcW w:w="3965" w:type="dxa"/>
          </w:tcPr>
          <w:p w:rsidR="00CF35C2" w:rsidRPr="00C6577B" w:rsidRDefault="00CF35C2" w:rsidP="00CF35C2">
            <w:pPr>
              <w:jc w:val="center"/>
              <w:rPr>
                <w:rFonts w:cs="Arial"/>
              </w:rPr>
            </w:pPr>
            <w:r w:rsidRPr="00C6577B">
              <w:rPr>
                <w:rFonts w:cs="Arial"/>
              </w:rPr>
              <w:t>£1,000</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Switch charge</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9E4D35" w:rsidP="0009387C">
            <w:pPr>
              <w:jc w:val="center"/>
              <w:rPr>
                <w:rFonts w:cs="Arial"/>
              </w:rPr>
            </w:pPr>
            <w:r w:rsidRPr="00C6577B">
              <w:rPr>
                <w:rFonts w:cs="Arial"/>
              </w:rPr>
              <w:t>0%</w:t>
            </w:r>
          </w:p>
        </w:tc>
        <w:tc>
          <w:tcPr>
            <w:tcW w:w="3965" w:type="dxa"/>
          </w:tcPr>
          <w:p w:rsidR="009E4D35" w:rsidRPr="00C6577B" w:rsidRDefault="00075D95" w:rsidP="00CD79DC">
            <w:pPr>
              <w:jc w:val="center"/>
              <w:rPr>
                <w:rFonts w:cs="Arial"/>
              </w:rPr>
            </w:pPr>
            <w:r>
              <w:rPr>
                <w:rFonts w:cs="Arial"/>
              </w:rPr>
              <w:t>0</w:t>
            </w:r>
            <w:r w:rsidR="00822309" w:rsidRPr="00C6577B">
              <w:rPr>
                <w:rFonts w:cs="Arial"/>
              </w:rPr>
              <w:t>%</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regular payment</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9E4D35" w:rsidP="0009387C">
            <w:pPr>
              <w:jc w:val="center"/>
              <w:rPr>
                <w:rFonts w:cs="Arial"/>
              </w:rPr>
            </w:pPr>
            <w:r w:rsidRPr="00C6577B">
              <w:rPr>
                <w:rFonts w:cs="Arial"/>
              </w:rPr>
              <w:t>N/A</w:t>
            </w:r>
          </w:p>
        </w:tc>
        <w:tc>
          <w:tcPr>
            <w:tcW w:w="3965" w:type="dxa"/>
          </w:tcPr>
          <w:p w:rsidR="009E4D35" w:rsidRPr="00C6577B" w:rsidRDefault="006C762D" w:rsidP="0009387C">
            <w:pPr>
              <w:jc w:val="center"/>
              <w:rPr>
                <w:rFonts w:cs="Arial"/>
              </w:rPr>
            </w:pPr>
            <w:r w:rsidRPr="00C6577B">
              <w:rPr>
                <w:rFonts w:cs="Arial"/>
              </w:rPr>
              <w:t>£100</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lastRenderedPageBreak/>
              <w:t>Minimum additional regular payment</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9E4D35" w:rsidP="0009387C">
            <w:pPr>
              <w:jc w:val="center"/>
              <w:rPr>
                <w:rFonts w:cs="Arial"/>
              </w:rPr>
            </w:pPr>
            <w:r w:rsidRPr="00C6577B">
              <w:rPr>
                <w:rFonts w:cs="Arial"/>
              </w:rPr>
              <w:t>N/A</w:t>
            </w:r>
          </w:p>
        </w:tc>
        <w:tc>
          <w:tcPr>
            <w:tcW w:w="3965" w:type="dxa"/>
          </w:tcPr>
          <w:p w:rsidR="009E4D35" w:rsidRPr="00C6577B" w:rsidRDefault="006C762D" w:rsidP="0009387C">
            <w:pPr>
              <w:jc w:val="center"/>
              <w:rPr>
                <w:rFonts w:cs="Arial"/>
              </w:rPr>
            </w:pPr>
            <w:r w:rsidRPr="00C6577B">
              <w:rPr>
                <w:rFonts w:cs="Arial"/>
              </w:rPr>
              <w:t>N/A</w:t>
            </w:r>
          </w:p>
        </w:tc>
      </w:tr>
      <w:tr w:rsidR="009E4D35" w:rsidRPr="0009387C" w:rsidTr="00CF35C2">
        <w:trPr>
          <w:cantSplit/>
        </w:trPr>
        <w:tc>
          <w:tcPr>
            <w:tcW w:w="2250" w:type="dxa"/>
          </w:tcPr>
          <w:p w:rsidR="009E4D35" w:rsidRPr="0009387C" w:rsidRDefault="009E4D35" w:rsidP="0009387C">
            <w:pPr>
              <w:autoSpaceDE w:val="0"/>
              <w:autoSpaceDN w:val="0"/>
              <w:adjustRightInd w:val="0"/>
              <w:spacing w:after="0"/>
              <w:jc w:val="center"/>
              <w:rPr>
                <w:rFonts w:cs="Arial"/>
                <w:b/>
                <w:bCs/>
                <w:color w:val="000000"/>
                <w:lang w:eastAsia="en-GB"/>
              </w:rPr>
            </w:pPr>
            <w:r w:rsidRPr="0009387C">
              <w:rPr>
                <w:rFonts w:cs="Arial"/>
                <w:b/>
                <w:bCs/>
                <w:color w:val="000000"/>
                <w:lang w:eastAsia="en-GB"/>
              </w:rPr>
              <w:t>Exit charges*</w:t>
            </w:r>
          </w:p>
          <w:p w:rsidR="009E4D35" w:rsidRPr="0009387C" w:rsidRDefault="009E4D35" w:rsidP="0009387C">
            <w:pPr>
              <w:autoSpaceDE w:val="0"/>
              <w:autoSpaceDN w:val="0"/>
              <w:adjustRightInd w:val="0"/>
              <w:spacing w:after="0"/>
              <w:jc w:val="center"/>
              <w:rPr>
                <w:rFonts w:cs="Arial"/>
                <w:b/>
                <w:bCs/>
                <w:color w:val="000000"/>
                <w:lang w:eastAsia="en-GB"/>
              </w:rPr>
            </w:pPr>
          </w:p>
        </w:tc>
        <w:tc>
          <w:tcPr>
            <w:tcW w:w="4140" w:type="dxa"/>
          </w:tcPr>
          <w:p w:rsidR="009E4D35" w:rsidRPr="00C6577B" w:rsidRDefault="00EE2615" w:rsidP="0009387C">
            <w:pPr>
              <w:jc w:val="center"/>
              <w:rPr>
                <w:rFonts w:cs="Arial"/>
              </w:rPr>
            </w:pPr>
            <w:r w:rsidRPr="00C6577B">
              <w:rPr>
                <w:rFonts w:cs="Arial"/>
              </w:rPr>
              <w:t>NIL</w:t>
            </w:r>
          </w:p>
        </w:tc>
        <w:tc>
          <w:tcPr>
            <w:tcW w:w="3965" w:type="dxa"/>
          </w:tcPr>
          <w:p w:rsidR="009E4D35" w:rsidRPr="00C6577B" w:rsidRDefault="009106E9" w:rsidP="00075D95">
            <w:pPr>
              <w:jc w:val="center"/>
              <w:rPr>
                <w:rFonts w:cs="Arial"/>
              </w:rPr>
            </w:pPr>
            <w:r w:rsidRPr="00C6577B">
              <w:rPr>
                <w:rFonts w:cs="Arial"/>
              </w:rPr>
              <w:t>Up to 3 % if Shares redeemed within 90 days of purchase</w:t>
            </w:r>
          </w:p>
        </w:tc>
      </w:tr>
      <w:tr w:rsidR="00170261" w:rsidRPr="0009387C" w:rsidTr="00CF35C2">
        <w:trPr>
          <w:cantSplit/>
        </w:trPr>
        <w:tc>
          <w:tcPr>
            <w:tcW w:w="2250" w:type="dxa"/>
          </w:tcPr>
          <w:p w:rsidR="00170261" w:rsidRPr="0009387C" w:rsidRDefault="00170261" w:rsidP="0009387C">
            <w:pPr>
              <w:autoSpaceDE w:val="0"/>
              <w:autoSpaceDN w:val="0"/>
              <w:adjustRightInd w:val="0"/>
              <w:spacing w:after="0"/>
              <w:jc w:val="center"/>
              <w:rPr>
                <w:rFonts w:cs="Arial"/>
                <w:b/>
                <w:bCs/>
                <w:color w:val="000000"/>
                <w:lang w:eastAsia="en-GB"/>
              </w:rPr>
            </w:pPr>
            <w:r>
              <w:rPr>
                <w:rFonts w:cs="Arial"/>
                <w:b/>
                <w:bCs/>
                <w:color w:val="000000"/>
                <w:lang w:eastAsia="en-GB"/>
              </w:rPr>
              <w:t>Pricing</w:t>
            </w:r>
          </w:p>
        </w:tc>
        <w:tc>
          <w:tcPr>
            <w:tcW w:w="4140" w:type="dxa"/>
          </w:tcPr>
          <w:p w:rsidR="00170261" w:rsidRPr="00C6577B" w:rsidRDefault="002201C0" w:rsidP="0009387C">
            <w:pPr>
              <w:jc w:val="center"/>
              <w:rPr>
                <w:rFonts w:cs="Arial"/>
              </w:rPr>
            </w:pPr>
            <w:r w:rsidRPr="00C6577B">
              <w:rPr>
                <w:rFonts w:cs="Arial"/>
              </w:rPr>
              <w:t>Forward pricing basis</w:t>
            </w:r>
          </w:p>
        </w:tc>
        <w:tc>
          <w:tcPr>
            <w:tcW w:w="3965" w:type="dxa"/>
          </w:tcPr>
          <w:p w:rsidR="00170261" w:rsidRPr="00C6577B" w:rsidRDefault="002201C0" w:rsidP="00CD79DC">
            <w:pPr>
              <w:jc w:val="center"/>
              <w:rPr>
                <w:rFonts w:cs="Arial"/>
              </w:rPr>
            </w:pPr>
            <w:r w:rsidRPr="00C6577B">
              <w:rPr>
                <w:rFonts w:cs="Arial"/>
              </w:rPr>
              <w:t>Forward pricing basis</w:t>
            </w:r>
          </w:p>
        </w:tc>
      </w:tr>
      <w:tr w:rsidR="00170261" w:rsidRPr="0009387C" w:rsidTr="00CF35C2">
        <w:trPr>
          <w:cantSplit/>
        </w:trPr>
        <w:tc>
          <w:tcPr>
            <w:tcW w:w="2250" w:type="dxa"/>
          </w:tcPr>
          <w:p w:rsidR="00170261" w:rsidRPr="00891E76" w:rsidRDefault="00170261" w:rsidP="0009387C">
            <w:pPr>
              <w:autoSpaceDE w:val="0"/>
              <w:autoSpaceDN w:val="0"/>
              <w:adjustRightInd w:val="0"/>
              <w:spacing w:after="0"/>
              <w:jc w:val="center"/>
              <w:rPr>
                <w:rFonts w:cs="Arial"/>
                <w:b/>
                <w:bCs/>
                <w:color w:val="000000"/>
                <w:lang w:eastAsia="en-GB"/>
              </w:rPr>
            </w:pPr>
            <w:r w:rsidRPr="00BB6E27">
              <w:rPr>
                <w:rFonts w:cs="Arial"/>
                <w:b/>
                <w:bCs/>
                <w:color w:val="000000"/>
                <w:lang w:eastAsia="en-GB"/>
              </w:rPr>
              <w:t>Accounting d</w:t>
            </w:r>
            <w:r w:rsidRPr="00C67F6C">
              <w:rPr>
                <w:rFonts w:cs="Arial"/>
                <w:b/>
                <w:bCs/>
                <w:color w:val="000000"/>
                <w:lang w:eastAsia="en-GB"/>
              </w:rPr>
              <w:t>ate</w:t>
            </w:r>
          </w:p>
        </w:tc>
        <w:tc>
          <w:tcPr>
            <w:tcW w:w="4140" w:type="dxa"/>
          </w:tcPr>
          <w:p w:rsidR="00170261" w:rsidRPr="00C6577B" w:rsidRDefault="00DF6554" w:rsidP="0009387C">
            <w:pPr>
              <w:jc w:val="center"/>
              <w:rPr>
                <w:rFonts w:cs="Arial"/>
              </w:rPr>
            </w:pPr>
            <w:r w:rsidRPr="00C6577B">
              <w:rPr>
                <w:rFonts w:cs="Arial"/>
              </w:rPr>
              <w:t>31 March</w:t>
            </w:r>
          </w:p>
        </w:tc>
        <w:tc>
          <w:tcPr>
            <w:tcW w:w="3965" w:type="dxa"/>
          </w:tcPr>
          <w:p w:rsidR="00170261" w:rsidRPr="00C6577B" w:rsidRDefault="00DF6554" w:rsidP="00CD79DC">
            <w:pPr>
              <w:jc w:val="center"/>
              <w:rPr>
                <w:rFonts w:cs="Arial"/>
              </w:rPr>
            </w:pPr>
            <w:r w:rsidRPr="00C6577B">
              <w:rPr>
                <w:rFonts w:cs="Arial"/>
              </w:rPr>
              <w:t>31 May (annual)</w:t>
            </w:r>
          </w:p>
          <w:p w:rsidR="00DF6554" w:rsidRPr="00C6577B" w:rsidRDefault="00DF6554" w:rsidP="00CD79DC">
            <w:pPr>
              <w:jc w:val="center"/>
              <w:rPr>
                <w:rFonts w:cs="Arial"/>
              </w:rPr>
            </w:pPr>
            <w:r w:rsidRPr="00C6577B">
              <w:rPr>
                <w:rFonts w:cs="Arial"/>
              </w:rPr>
              <w:t>30 November (semi-annual)</w:t>
            </w:r>
          </w:p>
          <w:p w:rsidR="00DF6554" w:rsidRPr="00C6577B" w:rsidRDefault="00DF6554" w:rsidP="00CD79DC">
            <w:pPr>
              <w:jc w:val="center"/>
              <w:rPr>
                <w:rFonts w:cs="Arial"/>
              </w:rPr>
            </w:pPr>
            <w:r w:rsidRPr="00C6577B">
              <w:rPr>
                <w:rFonts w:cs="Arial"/>
              </w:rPr>
              <w:t>Last day of February and 31 August (interim)</w:t>
            </w:r>
          </w:p>
        </w:tc>
      </w:tr>
      <w:tr w:rsidR="00170261" w:rsidRPr="0009387C" w:rsidTr="00CF35C2">
        <w:trPr>
          <w:cantSplit/>
        </w:trPr>
        <w:tc>
          <w:tcPr>
            <w:tcW w:w="2250" w:type="dxa"/>
          </w:tcPr>
          <w:p w:rsidR="00170261" w:rsidRPr="00C67F6C" w:rsidRDefault="00170261" w:rsidP="0009387C">
            <w:pPr>
              <w:autoSpaceDE w:val="0"/>
              <w:autoSpaceDN w:val="0"/>
              <w:adjustRightInd w:val="0"/>
              <w:spacing w:after="0"/>
              <w:jc w:val="center"/>
              <w:rPr>
                <w:rFonts w:cs="Arial"/>
                <w:b/>
                <w:bCs/>
                <w:color w:val="000000"/>
                <w:lang w:eastAsia="en-GB"/>
              </w:rPr>
            </w:pPr>
            <w:r w:rsidRPr="00BB6E27">
              <w:rPr>
                <w:rFonts w:cs="Arial"/>
                <w:b/>
                <w:bCs/>
                <w:color w:val="000000"/>
                <w:lang w:eastAsia="en-GB"/>
              </w:rPr>
              <w:t>Income allocation/accumulation date</w:t>
            </w:r>
          </w:p>
        </w:tc>
        <w:tc>
          <w:tcPr>
            <w:tcW w:w="4140" w:type="dxa"/>
          </w:tcPr>
          <w:p w:rsidR="00170261" w:rsidRPr="00C6577B" w:rsidRDefault="00756831" w:rsidP="0009387C">
            <w:pPr>
              <w:jc w:val="center"/>
              <w:rPr>
                <w:rFonts w:cs="Arial"/>
              </w:rPr>
            </w:pPr>
            <w:r w:rsidRPr="00C6577B">
              <w:rPr>
                <w:rFonts w:cs="Arial"/>
              </w:rPr>
              <w:t>31 May and 30 November</w:t>
            </w:r>
          </w:p>
        </w:tc>
        <w:tc>
          <w:tcPr>
            <w:tcW w:w="3965" w:type="dxa"/>
          </w:tcPr>
          <w:p w:rsidR="00485A2B" w:rsidRPr="00C6577B" w:rsidRDefault="00485A2B" w:rsidP="00485A2B">
            <w:pPr>
              <w:jc w:val="center"/>
              <w:rPr>
                <w:rFonts w:cs="Arial"/>
              </w:rPr>
            </w:pPr>
            <w:r w:rsidRPr="00C6577B">
              <w:rPr>
                <w:rFonts w:cs="Arial"/>
              </w:rPr>
              <w:t>31</w:t>
            </w:r>
          </w:p>
          <w:p w:rsidR="00170261" w:rsidRPr="00C6577B" w:rsidRDefault="00485A2B" w:rsidP="00485A2B">
            <w:pPr>
              <w:jc w:val="center"/>
              <w:rPr>
                <w:rFonts w:cs="Arial"/>
              </w:rPr>
            </w:pPr>
            <w:r w:rsidRPr="00C6577B">
              <w:rPr>
                <w:rFonts w:cs="Arial"/>
              </w:rPr>
              <w:t>January, 30 April, 31 July and 31 October</w:t>
            </w:r>
          </w:p>
        </w:tc>
      </w:tr>
    </w:tbl>
    <w:p w:rsidR="009E4D35" w:rsidRDefault="009E4D35" w:rsidP="0009387C">
      <w:pPr>
        <w:pStyle w:val="Body2"/>
        <w:spacing w:after="0"/>
        <w:ind w:left="0"/>
        <w:rPr>
          <w:rFonts w:cs="Arial"/>
        </w:rPr>
      </w:pPr>
      <w:r w:rsidRPr="0009387C">
        <w:rPr>
          <w:rFonts w:cs="Arial"/>
        </w:rPr>
        <w:t xml:space="preserve">* Although the Manager and ACD reserve the right to charge an exit fee, this </w:t>
      </w:r>
      <w:r w:rsidR="00075D95">
        <w:rPr>
          <w:rFonts w:cs="Arial"/>
        </w:rPr>
        <w:t>is at their discretion</w:t>
      </w:r>
      <w:r w:rsidRPr="0009387C">
        <w:rPr>
          <w:rFonts w:cs="Arial"/>
        </w:rPr>
        <w:t>.</w:t>
      </w:r>
    </w:p>
    <w:p w:rsidR="0081623F" w:rsidRPr="0009387C" w:rsidRDefault="0081623F" w:rsidP="0009387C">
      <w:pPr>
        <w:pStyle w:val="Body2"/>
        <w:spacing w:after="0"/>
        <w:ind w:left="0"/>
        <w:rPr>
          <w:rFonts w:cs="Arial"/>
        </w:rPr>
      </w:pPr>
    </w:p>
    <w:tbl>
      <w:tblPr>
        <w:tblpPr w:leftFromText="180" w:rightFromText="180" w:vertAnchor="text" w:horzAnchor="margin" w:tblpX="-355" w:tblpY="122"/>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30"/>
        <w:gridCol w:w="4140"/>
      </w:tblGrid>
      <w:tr w:rsidR="006C762D" w:rsidRPr="0009387C" w:rsidTr="003D4FDA">
        <w:trPr>
          <w:cantSplit/>
          <w:trHeight w:val="368"/>
        </w:trPr>
        <w:tc>
          <w:tcPr>
            <w:tcW w:w="1985" w:type="dxa"/>
            <w:shd w:val="clear" w:color="auto" w:fill="BFBFBF" w:themeFill="background1" w:themeFillShade="BF"/>
          </w:tcPr>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shd w:val="clear" w:color="auto" w:fill="BFBFBF" w:themeFill="background1" w:themeFillShade="BF"/>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Discontinuing Fund</w:t>
            </w:r>
          </w:p>
        </w:tc>
        <w:tc>
          <w:tcPr>
            <w:tcW w:w="4140" w:type="dxa"/>
            <w:shd w:val="clear" w:color="auto" w:fill="BFBFBF" w:themeFill="background1" w:themeFillShade="BF"/>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Continuing Fund</w:t>
            </w:r>
          </w:p>
        </w:tc>
      </w:tr>
      <w:tr w:rsidR="006C762D" w:rsidRPr="0009387C" w:rsidTr="003D4FDA">
        <w:trPr>
          <w:cantSplit/>
          <w:trHeight w:val="368"/>
        </w:trPr>
        <w:tc>
          <w:tcPr>
            <w:tcW w:w="1985" w:type="dxa"/>
            <w:shd w:val="clear" w:color="auto" w:fill="BFBFBF" w:themeFill="background1" w:themeFillShade="BF"/>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Fund name</w:t>
            </w:r>
          </w:p>
        </w:tc>
        <w:tc>
          <w:tcPr>
            <w:tcW w:w="4230" w:type="dxa"/>
            <w:shd w:val="clear" w:color="auto" w:fill="BFBFBF" w:themeFill="background1" w:themeFillShade="BF"/>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 xml:space="preserve">Old Mutual </w:t>
            </w:r>
            <w:r>
              <w:rPr>
                <w:rFonts w:cs="Arial"/>
                <w:b/>
                <w:bCs/>
                <w:color w:val="000000"/>
                <w:lang w:eastAsia="en-GB"/>
              </w:rPr>
              <w:t>Property</w:t>
            </w:r>
            <w:r w:rsidRPr="0009387C">
              <w:rPr>
                <w:rFonts w:cs="Arial"/>
                <w:b/>
                <w:bCs/>
                <w:color w:val="000000"/>
                <w:lang w:eastAsia="en-GB"/>
              </w:rPr>
              <w:t xml:space="preserve"> Fund</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140" w:type="dxa"/>
            <w:shd w:val="clear" w:color="auto" w:fill="BFBFBF" w:themeFill="background1" w:themeFillShade="BF"/>
          </w:tcPr>
          <w:p w:rsidR="006C762D" w:rsidRPr="0009387C" w:rsidRDefault="006C762D" w:rsidP="00097E6C">
            <w:pPr>
              <w:autoSpaceDE w:val="0"/>
              <w:autoSpaceDN w:val="0"/>
              <w:adjustRightInd w:val="0"/>
              <w:spacing w:after="0"/>
              <w:jc w:val="center"/>
              <w:rPr>
                <w:rFonts w:cs="Arial"/>
                <w:b/>
                <w:bCs/>
                <w:color w:val="000000"/>
                <w:lang w:eastAsia="en-GB"/>
              </w:rPr>
            </w:pPr>
            <w:r>
              <w:rPr>
                <w:rFonts w:cs="Arial"/>
                <w:b/>
              </w:rPr>
              <w:t>Henderson UK Property OEIC</w:t>
            </w:r>
          </w:p>
        </w:tc>
      </w:tr>
      <w:tr w:rsidR="006C762D" w:rsidRPr="0009387C" w:rsidTr="003D4FDA">
        <w:trPr>
          <w:cantSplit/>
        </w:trPr>
        <w:tc>
          <w:tcPr>
            <w:tcW w:w="1985" w:type="dxa"/>
            <w:shd w:val="clear" w:color="auto" w:fill="BFBFBF" w:themeFill="background1" w:themeFillShade="BF"/>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Unit / Share class</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shd w:val="clear" w:color="auto" w:fill="BFBFBF" w:themeFill="background1" w:themeFillShade="BF"/>
          </w:tcPr>
          <w:p w:rsidR="006C762D" w:rsidRPr="003D4FDA" w:rsidRDefault="006C762D" w:rsidP="00097E6C">
            <w:pPr>
              <w:autoSpaceDE w:val="0"/>
              <w:autoSpaceDN w:val="0"/>
              <w:adjustRightInd w:val="0"/>
              <w:spacing w:after="0"/>
              <w:jc w:val="center"/>
              <w:rPr>
                <w:rFonts w:cs="Arial"/>
                <w:b/>
                <w:bCs/>
                <w:color w:val="000000"/>
                <w:lang w:eastAsia="en-GB"/>
              </w:rPr>
            </w:pPr>
            <w:r w:rsidRPr="003D4FDA">
              <w:rPr>
                <w:rFonts w:cs="Arial"/>
                <w:b/>
                <w:bCs/>
                <w:color w:val="000000"/>
                <w:lang w:eastAsia="en-GB"/>
              </w:rPr>
              <w:t>Class R (GBP) Income Units, Class S (GBP) Income Units and Class U1 (GBP) Income and Accumulation Units</w:t>
            </w:r>
          </w:p>
          <w:p w:rsidR="006C762D" w:rsidRPr="003D4FDA" w:rsidRDefault="006C762D" w:rsidP="00097E6C">
            <w:pPr>
              <w:autoSpaceDE w:val="0"/>
              <w:autoSpaceDN w:val="0"/>
              <w:adjustRightInd w:val="0"/>
              <w:spacing w:after="0"/>
              <w:jc w:val="center"/>
              <w:rPr>
                <w:rFonts w:cs="Arial"/>
                <w:b/>
                <w:bCs/>
                <w:color w:val="000000"/>
                <w:lang w:eastAsia="en-GB"/>
              </w:rPr>
            </w:pPr>
          </w:p>
        </w:tc>
        <w:tc>
          <w:tcPr>
            <w:tcW w:w="4140" w:type="dxa"/>
            <w:shd w:val="clear" w:color="auto" w:fill="BFBFBF" w:themeFill="background1" w:themeFillShade="BF"/>
          </w:tcPr>
          <w:p w:rsidR="006C762D" w:rsidRPr="003D4FDA" w:rsidRDefault="006C762D" w:rsidP="00097E6C">
            <w:pPr>
              <w:autoSpaceDE w:val="0"/>
              <w:autoSpaceDN w:val="0"/>
              <w:adjustRightInd w:val="0"/>
              <w:spacing w:after="0"/>
              <w:jc w:val="center"/>
              <w:rPr>
                <w:rFonts w:cs="Arial"/>
                <w:b/>
                <w:bCs/>
                <w:color w:val="000000"/>
                <w:lang w:eastAsia="en-GB"/>
              </w:rPr>
            </w:pPr>
            <w:r w:rsidRPr="003D4FDA">
              <w:rPr>
                <w:rFonts w:cs="Arial"/>
                <w:b/>
                <w:bCs/>
                <w:color w:val="000000"/>
                <w:lang w:eastAsia="en-GB"/>
              </w:rPr>
              <w:t xml:space="preserve">Class I Accumulation and Income </w:t>
            </w:r>
          </w:p>
          <w:p w:rsidR="006C762D" w:rsidRPr="003D4FDA" w:rsidRDefault="006C762D" w:rsidP="00097E6C">
            <w:pPr>
              <w:autoSpaceDE w:val="0"/>
              <w:autoSpaceDN w:val="0"/>
              <w:adjustRightInd w:val="0"/>
              <w:spacing w:after="0"/>
              <w:jc w:val="center"/>
              <w:rPr>
                <w:rFonts w:cs="Arial"/>
                <w:b/>
                <w:bCs/>
                <w:color w:val="000000"/>
                <w:lang w:eastAsia="en-GB"/>
              </w:rPr>
            </w:pP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Currency</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C6577B" w:rsidRDefault="006C762D" w:rsidP="00097E6C">
            <w:pPr>
              <w:autoSpaceDE w:val="0"/>
              <w:autoSpaceDN w:val="0"/>
              <w:adjustRightInd w:val="0"/>
              <w:spacing w:after="0"/>
              <w:jc w:val="center"/>
              <w:rPr>
                <w:rFonts w:cs="Arial"/>
                <w:bCs/>
                <w:color w:val="000000"/>
                <w:lang w:eastAsia="en-GB"/>
              </w:rPr>
            </w:pPr>
            <w:r w:rsidRPr="00C6577B">
              <w:rPr>
                <w:rFonts w:cs="Arial"/>
                <w:bCs/>
                <w:color w:val="000000"/>
                <w:lang w:eastAsia="en-GB"/>
              </w:rPr>
              <w:t>Sterling</w:t>
            </w:r>
          </w:p>
        </w:tc>
        <w:tc>
          <w:tcPr>
            <w:tcW w:w="4140" w:type="dxa"/>
          </w:tcPr>
          <w:p w:rsidR="006C762D" w:rsidRPr="00C6577B" w:rsidRDefault="006C762D" w:rsidP="00097E6C">
            <w:pPr>
              <w:autoSpaceDE w:val="0"/>
              <w:autoSpaceDN w:val="0"/>
              <w:adjustRightInd w:val="0"/>
              <w:spacing w:after="0"/>
              <w:jc w:val="center"/>
              <w:rPr>
                <w:rFonts w:cs="Arial"/>
                <w:bCs/>
                <w:color w:val="000000"/>
                <w:lang w:eastAsia="en-GB"/>
              </w:rPr>
            </w:pPr>
            <w:r w:rsidRPr="00C6577B">
              <w:rPr>
                <w:rFonts w:cs="Arial"/>
              </w:rPr>
              <w:t>Sterling</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Initial charge</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C6577B" w:rsidRDefault="006C762D" w:rsidP="00097E6C">
            <w:pPr>
              <w:spacing w:after="0"/>
              <w:jc w:val="center"/>
              <w:rPr>
                <w:rFonts w:cs="Arial"/>
              </w:rPr>
            </w:pPr>
            <w:r w:rsidRPr="00C6577B">
              <w:rPr>
                <w:rFonts w:cs="Arial"/>
              </w:rPr>
              <w:t>5.00%</w:t>
            </w:r>
          </w:p>
        </w:tc>
        <w:tc>
          <w:tcPr>
            <w:tcW w:w="4140" w:type="dxa"/>
          </w:tcPr>
          <w:p w:rsidR="006C762D" w:rsidRPr="00C6577B" w:rsidRDefault="006C762D" w:rsidP="00097E6C">
            <w:pPr>
              <w:spacing w:after="0"/>
              <w:jc w:val="center"/>
              <w:rPr>
                <w:rFonts w:cs="Arial"/>
              </w:rPr>
            </w:pPr>
            <w:r w:rsidRPr="00C6577B">
              <w:rPr>
                <w:rFonts w:cs="Arial"/>
              </w:rPr>
              <w:t>0%</w:t>
            </w:r>
          </w:p>
        </w:tc>
      </w:tr>
      <w:tr w:rsidR="00822309" w:rsidRPr="0009387C" w:rsidTr="003D4FDA">
        <w:trPr>
          <w:cantSplit/>
        </w:trPr>
        <w:tc>
          <w:tcPr>
            <w:tcW w:w="1985" w:type="dxa"/>
          </w:tcPr>
          <w:p w:rsidR="00822309" w:rsidRPr="0009387C" w:rsidRDefault="00822309" w:rsidP="00097E6C">
            <w:pPr>
              <w:autoSpaceDE w:val="0"/>
              <w:autoSpaceDN w:val="0"/>
              <w:adjustRightInd w:val="0"/>
              <w:spacing w:after="0"/>
              <w:jc w:val="center"/>
              <w:rPr>
                <w:rFonts w:cs="Arial"/>
                <w:b/>
                <w:bCs/>
                <w:color w:val="000000"/>
                <w:lang w:eastAsia="en-GB"/>
              </w:rPr>
            </w:pPr>
            <w:r>
              <w:rPr>
                <w:rFonts w:cs="Arial"/>
                <w:b/>
                <w:bCs/>
                <w:color w:val="000000"/>
                <w:lang w:eastAsia="en-GB"/>
              </w:rPr>
              <w:t>Ongoing charges</w:t>
            </w:r>
          </w:p>
        </w:tc>
        <w:tc>
          <w:tcPr>
            <w:tcW w:w="4230" w:type="dxa"/>
          </w:tcPr>
          <w:p w:rsidR="00BB6E27" w:rsidRPr="00C6577B" w:rsidRDefault="00BB6E27" w:rsidP="00BB6E27">
            <w:pPr>
              <w:spacing w:after="0"/>
              <w:jc w:val="center"/>
              <w:rPr>
                <w:rFonts w:cs="Arial"/>
              </w:rPr>
            </w:pPr>
            <w:r w:rsidRPr="00C6577B">
              <w:rPr>
                <w:rFonts w:cs="Arial"/>
              </w:rPr>
              <w:t>Class R – 1.55%</w:t>
            </w:r>
          </w:p>
          <w:p w:rsidR="00BB6E27" w:rsidRPr="00C6577B" w:rsidRDefault="00BB6E27" w:rsidP="00BB6E27">
            <w:pPr>
              <w:spacing w:after="0"/>
              <w:jc w:val="center"/>
              <w:rPr>
                <w:rFonts w:cs="Arial"/>
              </w:rPr>
            </w:pPr>
            <w:r w:rsidRPr="00C6577B">
              <w:rPr>
                <w:rFonts w:cs="Arial"/>
              </w:rPr>
              <w:t>Class S – 2.03%</w:t>
            </w:r>
          </w:p>
          <w:p w:rsidR="00822309" w:rsidRPr="00C6577B" w:rsidRDefault="00BB6E27" w:rsidP="00BB6E27">
            <w:pPr>
              <w:spacing w:after="0"/>
              <w:jc w:val="center"/>
              <w:rPr>
                <w:rFonts w:cs="Arial"/>
              </w:rPr>
            </w:pPr>
            <w:r w:rsidRPr="00C6577B">
              <w:rPr>
                <w:rFonts w:cs="Arial"/>
              </w:rPr>
              <w:t>Class U1 – 1.50%</w:t>
            </w:r>
          </w:p>
        </w:tc>
        <w:tc>
          <w:tcPr>
            <w:tcW w:w="4140" w:type="dxa"/>
          </w:tcPr>
          <w:p w:rsidR="00822309" w:rsidRPr="00C6577B" w:rsidRDefault="00822309" w:rsidP="00097E6C">
            <w:pPr>
              <w:spacing w:after="0"/>
              <w:jc w:val="center"/>
              <w:rPr>
                <w:rFonts w:cs="Arial"/>
              </w:rPr>
            </w:pPr>
            <w:r w:rsidRPr="00C6577B">
              <w:rPr>
                <w:rFonts w:cs="Arial"/>
              </w:rPr>
              <w:t>0.</w:t>
            </w:r>
            <w:r w:rsidR="00C6577B" w:rsidRPr="00C6577B">
              <w:rPr>
                <w:rFonts w:cs="Arial"/>
              </w:rPr>
              <w:t>98</w:t>
            </w:r>
            <w:r w:rsidRPr="00C6577B">
              <w:rPr>
                <w:rFonts w:cs="Arial"/>
              </w:rPr>
              <w:t>%</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Annual management charge</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C6577B" w:rsidRDefault="006C762D" w:rsidP="00097E6C">
            <w:pPr>
              <w:spacing w:after="0"/>
              <w:jc w:val="center"/>
              <w:rPr>
                <w:rFonts w:cs="Arial"/>
              </w:rPr>
            </w:pPr>
            <w:r w:rsidRPr="00C6577B">
              <w:rPr>
                <w:rFonts w:cs="Arial"/>
              </w:rPr>
              <w:t>Class R – 0.75%</w:t>
            </w:r>
          </w:p>
          <w:p w:rsidR="006C762D" w:rsidRPr="00C6577B" w:rsidRDefault="006C762D" w:rsidP="00097E6C">
            <w:pPr>
              <w:spacing w:after="0"/>
              <w:jc w:val="center"/>
              <w:rPr>
                <w:rFonts w:cs="Arial"/>
              </w:rPr>
            </w:pPr>
            <w:r w:rsidRPr="00C6577B">
              <w:rPr>
                <w:rFonts w:cs="Arial"/>
              </w:rPr>
              <w:t>Class S – 1.15%</w:t>
            </w:r>
          </w:p>
          <w:p w:rsidR="006C762D" w:rsidRPr="00C6577B" w:rsidRDefault="006C762D" w:rsidP="006C762D">
            <w:pPr>
              <w:spacing w:after="0"/>
              <w:jc w:val="center"/>
              <w:rPr>
                <w:rFonts w:cs="Arial"/>
              </w:rPr>
            </w:pPr>
            <w:r w:rsidRPr="00C6577B">
              <w:rPr>
                <w:rFonts w:cs="Arial"/>
              </w:rPr>
              <w:t>Class U</w:t>
            </w:r>
            <w:r w:rsidR="003D4FDA" w:rsidRPr="00C6577B">
              <w:rPr>
                <w:rFonts w:cs="Arial"/>
              </w:rPr>
              <w:t>1</w:t>
            </w:r>
            <w:r w:rsidRPr="00C6577B">
              <w:rPr>
                <w:rFonts w:cs="Arial"/>
              </w:rPr>
              <w:t xml:space="preserve"> – 0.675%</w:t>
            </w:r>
          </w:p>
          <w:p w:rsidR="006C762D" w:rsidRPr="00C6577B" w:rsidRDefault="006C762D" w:rsidP="006C762D">
            <w:pPr>
              <w:spacing w:after="0"/>
              <w:jc w:val="center"/>
              <w:rPr>
                <w:rFonts w:cs="Arial"/>
              </w:rPr>
            </w:pPr>
          </w:p>
        </w:tc>
        <w:tc>
          <w:tcPr>
            <w:tcW w:w="4140" w:type="dxa"/>
          </w:tcPr>
          <w:p w:rsidR="006C762D" w:rsidRPr="00C6577B" w:rsidRDefault="006C762D" w:rsidP="00097E6C">
            <w:pPr>
              <w:spacing w:after="0"/>
              <w:jc w:val="center"/>
              <w:rPr>
                <w:rFonts w:cs="Arial"/>
              </w:rPr>
            </w:pPr>
            <w:r w:rsidRPr="00C6577B">
              <w:rPr>
                <w:rFonts w:cs="Arial"/>
              </w:rPr>
              <w:t>0.75%</w:t>
            </w:r>
          </w:p>
          <w:p w:rsidR="006C762D" w:rsidRPr="00C6577B" w:rsidRDefault="006C762D" w:rsidP="00097E6C">
            <w:pPr>
              <w:spacing w:after="0"/>
              <w:jc w:val="center"/>
              <w:rPr>
                <w:rFonts w:cs="Arial"/>
              </w:rPr>
            </w:pP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Pr>
                <w:rFonts w:cs="Arial"/>
                <w:b/>
                <w:bCs/>
                <w:color w:val="000000"/>
                <w:lang w:eastAsia="en-GB"/>
              </w:rPr>
              <w:t>Trustee</w:t>
            </w:r>
            <w:r w:rsidRPr="0009387C">
              <w:rPr>
                <w:rFonts w:cs="Arial"/>
                <w:b/>
                <w:bCs/>
                <w:color w:val="000000"/>
                <w:lang w:eastAsia="en-GB"/>
              </w:rPr>
              <w:t xml:space="preserve"> / Depositary fee</w:t>
            </w:r>
          </w:p>
        </w:tc>
        <w:tc>
          <w:tcPr>
            <w:tcW w:w="4230" w:type="dxa"/>
          </w:tcPr>
          <w:p w:rsidR="006C762D" w:rsidRPr="00C6577B" w:rsidRDefault="006C762D" w:rsidP="00097E6C">
            <w:pPr>
              <w:spacing w:after="0"/>
              <w:jc w:val="center"/>
              <w:rPr>
                <w:rFonts w:cs="Arial"/>
              </w:rPr>
            </w:pPr>
            <w:r w:rsidRPr="00C6577B">
              <w:rPr>
                <w:rFonts w:cs="Arial"/>
              </w:rPr>
              <w:t>Periodic fee of 0.0105% per annum</w:t>
            </w:r>
          </w:p>
          <w:p w:rsidR="006C762D" w:rsidRPr="00C6577B" w:rsidRDefault="006C762D" w:rsidP="00097E6C">
            <w:pPr>
              <w:spacing w:after="0"/>
              <w:jc w:val="center"/>
              <w:rPr>
                <w:rFonts w:cs="Arial"/>
              </w:rPr>
            </w:pPr>
          </w:p>
          <w:p w:rsidR="006C762D" w:rsidRPr="00C6577B" w:rsidRDefault="006C762D" w:rsidP="00097E6C">
            <w:pPr>
              <w:spacing w:after="0"/>
              <w:jc w:val="center"/>
              <w:rPr>
                <w:rFonts w:cs="Arial"/>
              </w:rPr>
            </w:pPr>
          </w:p>
          <w:p w:rsidR="006C762D" w:rsidRPr="00C6577B" w:rsidRDefault="006C762D" w:rsidP="00097E6C">
            <w:pPr>
              <w:spacing w:after="0"/>
              <w:jc w:val="center"/>
              <w:rPr>
                <w:rFonts w:cs="Arial"/>
              </w:rPr>
            </w:pPr>
            <w:r w:rsidRPr="00C6577B">
              <w:rPr>
                <w:rFonts w:cs="Arial"/>
              </w:rPr>
              <w:t>Transaction Charges:  £5 to £550</w:t>
            </w:r>
          </w:p>
          <w:p w:rsidR="006C762D" w:rsidRPr="00C6577B" w:rsidRDefault="006C762D" w:rsidP="00097E6C">
            <w:pPr>
              <w:spacing w:after="0"/>
              <w:jc w:val="center"/>
              <w:rPr>
                <w:rFonts w:cs="Arial"/>
              </w:rPr>
            </w:pPr>
            <w:r w:rsidRPr="00C6577B">
              <w:rPr>
                <w:rFonts w:cs="Arial"/>
              </w:rPr>
              <w:t xml:space="preserve">Custody Charges: 0.005% to 3% per annum </w:t>
            </w:r>
          </w:p>
        </w:tc>
        <w:tc>
          <w:tcPr>
            <w:tcW w:w="4140" w:type="dxa"/>
          </w:tcPr>
          <w:p w:rsidR="006C762D" w:rsidRPr="00C6577B" w:rsidRDefault="006C762D" w:rsidP="00097E6C">
            <w:pPr>
              <w:spacing w:after="0"/>
              <w:jc w:val="center"/>
              <w:rPr>
                <w:rFonts w:cs="Arial"/>
              </w:rPr>
            </w:pPr>
            <w:r w:rsidRPr="00C6577B">
              <w:rPr>
                <w:rFonts w:cs="Arial"/>
              </w:rPr>
              <w:t>0.02% for the first £200m and 0.015% for the remaining balance per annum</w:t>
            </w:r>
          </w:p>
          <w:p w:rsidR="006C762D" w:rsidRPr="00C6577B" w:rsidRDefault="006C762D" w:rsidP="00097E6C">
            <w:pPr>
              <w:spacing w:after="0"/>
              <w:jc w:val="center"/>
              <w:rPr>
                <w:rFonts w:cs="Arial"/>
              </w:rPr>
            </w:pPr>
          </w:p>
          <w:p w:rsidR="006C762D" w:rsidRPr="00C6577B" w:rsidRDefault="006C762D" w:rsidP="00097E6C">
            <w:pPr>
              <w:spacing w:after="0"/>
              <w:jc w:val="center"/>
              <w:rPr>
                <w:rFonts w:cs="Arial"/>
              </w:rPr>
            </w:pPr>
            <w:r w:rsidRPr="00C6577B">
              <w:rPr>
                <w:rFonts w:cs="Arial"/>
              </w:rPr>
              <w:t>Transaction Charges:  £8 to £80</w:t>
            </w:r>
          </w:p>
          <w:p w:rsidR="006C762D" w:rsidRPr="00C6577B" w:rsidRDefault="006C762D" w:rsidP="00097E6C">
            <w:pPr>
              <w:spacing w:after="0"/>
              <w:jc w:val="center"/>
              <w:rPr>
                <w:rFonts w:cs="Arial"/>
              </w:rPr>
            </w:pPr>
            <w:r w:rsidRPr="00C6577B">
              <w:rPr>
                <w:rFonts w:cs="Arial"/>
              </w:rPr>
              <w:t>Custody Charges: 0.0022% to 0.5% per annum</w:t>
            </w:r>
          </w:p>
          <w:p w:rsidR="006C762D" w:rsidRPr="00C6577B" w:rsidRDefault="006C762D" w:rsidP="00097E6C">
            <w:pPr>
              <w:spacing w:after="0"/>
              <w:jc w:val="center"/>
              <w:rPr>
                <w:rFonts w:cs="Arial"/>
              </w:rPr>
            </w:pPr>
          </w:p>
        </w:tc>
      </w:tr>
      <w:tr w:rsidR="006C762D" w:rsidRPr="00E84A4B"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Annual administration fee</w:t>
            </w:r>
          </w:p>
        </w:tc>
        <w:tc>
          <w:tcPr>
            <w:tcW w:w="4230" w:type="dxa"/>
          </w:tcPr>
          <w:p w:rsidR="006C762D" w:rsidRPr="00C6577B" w:rsidRDefault="006C762D" w:rsidP="00097E6C">
            <w:pPr>
              <w:jc w:val="center"/>
              <w:rPr>
                <w:rFonts w:cs="Arial"/>
              </w:rPr>
            </w:pPr>
            <w:r w:rsidRPr="00C6577B">
              <w:rPr>
                <w:rFonts w:cs="Arial"/>
              </w:rPr>
              <w:t>Between 0.03% to 0.49% per annum</w:t>
            </w:r>
          </w:p>
        </w:tc>
        <w:tc>
          <w:tcPr>
            <w:tcW w:w="4140" w:type="dxa"/>
          </w:tcPr>
          <w:p w:rsidR="006C762D" w:rsidRPr="00C6577B" w:rsidRDefault="006C762D" w:rsidP="006C762D">
            <w:pPr>
              <w:jc w:val="center"/>
              <w:rPr>
                <w:rFonts w:cs="Arial"/>
              </w:rPr>
            </w:pPr>
            <w:r w:rsidRPr="00C6577B">
              <w:rPr>
                <w:rFonts w:cs="Arial"/>
              </w:rPr>
              <w:t>0.075%</w:t>
            </w:r>
            <w:r w:rsidR="00CD681A" w:rsidRPr="00075D95">
              <w:rPr>
                <w:rFonts w:cs="Arial"/>
                <w:vertAlign w:val="superscript"/>
              </w:rPr>
              <w:t>+</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single investment amount</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C6577B" w:rsidRDefault="006C762D" w:rsidP="006C762D">
            <w:pPr>
              <w:spacing w:after="0"/>
              <w:jc w:val="center"/>
              <w:rPr>
                <w:rFonts w:cs="Arial"/>
              </w:rPr>
            </w:pPr>
            <w:r w:rsidRPr="00C6577B">
              <w:rPr>
                <w:rFonts w:cs="Arial"/>
              </w:rPr>
              <w:t>Class R - £5,000,000</w:t>
            </w:r>
          </w:p>
          <w:p w:rsidR="006C762D" w:rsidRPr="00C6577B" w:rsidRDefault="006C762D" w:rsidP="006C762D">
            <w:pPr>
              <w:spacing w:after="0"/>
              <w:jc w:val="center"/>
              <w:rPr>
                <w:rFonts w:cs="Arial"/>
              </w:rPr>
            </w:pPr>
            <w:r w:rsidRPr="00C6577B">
              <w:rPr>
                <w:rFonts w:cs="Arial"/>
              </w:rPr>
              <w:t>Class S - £100,000</w:t>
            </w:r>
          </w:p>
          <w:p w:rsidR="006C762D" w:rsidRPr="00C6577B" w:rsidRDefault="006C762D" w:rsidP="006C762D">
            <w:pPr>
              <w:spacing w:after="0"/>
              <w:jc w:val="center"/>
              <w:rPr>
                <w:rFonts w:cs="Arial"/>
              </w:rPr>
            </w:pPr>
            <w:r w:rsidRPr="00C6577B">
              <w:rPr>
                <w:rFonts w:cs="Arial"/>
              </w:rPr>
              <w:t>Class U</w:t>
            </w:r>
            <w:r w:rsidR="003D4FDA" w:rsidRPr="00C6577B">
              <w:rPr>
                <w:rFonts w:cs="Arial"/>
              </w:rPr>
              <w:t>1</w:t>
            </w:r>
            <w:r w:rsidRPr="00C6577B">
              <w:rPr>
                <w:rFonts w:cs="Arial"/>
              </w:rPr>
              <w:t xml:space="preserve"> – £75,000,000</w:t>
            </w:r>
          </w:p>
        </w:tc>
        <w:tc>
          <w:tcPr>
            <w:tcW w:w="4140" w:type="dxa"/>
          </w:tcPr>
          <w:p w:rsidR="006C762D" w:rsidRPr="00C6577B" w:rsidRDefault="006C762D" w:rsidP="00097E6C">
            <w:pPr>
              <w:jc w:val="center"/>
              <w:rPr>
                <w:rFonts w:cs="Arial"/>
              </w:rPr>
            </w:pPr>
            <w:r w:rsidRPr="00C6577B">
              <w:rPr>
                <w:rFonts w:cs="Arial"/>
              </w:rPr>
              <w:t>£3,000,000</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additional investment amount</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C6577B" w:rsidRDefault="006C762D" w:rsidP="006C762D">
            <w:pPr>
              <w:spacing w:after="0"/>
              <w:jc w:val="center"/>
              <w:rPr>
                <w:rFonts w:cs="Arial"/>
              </w:rPr>
            </w:pPr>
            <w:r w:rsidRPr="00C6577B">
              <w:rPr>
                <w:rFonts w:cs="Arial"/>
              </w:rPr>
              <w:t>Class R - £100,000</w:t>
            </w:r>
          </w:p>
          <w:p w:rsidR="006C762D" w:rsidRPr="00C6577B" w:rsidRDefault="006C762D" w:rsidP="006C762D">
            <w:pPr>
              <w:spacing w:after="0"/>
              <w:jc w:val="center"/>
              <w:rPr>
                <w:rFonts w:cs="Arial"/>
              </w:rPr>
            </w:pPr>
            <w:r w:rsidRPr="00C6577B">
              <w:rPr>
                <w:rFonts w:cs="Arial"/>
              </w:rPr>
              <w:t>Class S - £10,000</w:t>
            </w:r>
          </w:p>
          <w:p w:rsidR="006C762D" w:rsidRPr="00C6577B" w:rsidRDefault="006C762D" w:rsidP="006C762D">
            <w:pPr>
              <w:jc w:val="center"/>
              <w:rPr>
                <w:rFonts w:cs="Arial"/>
              </w:rPr>
            </w:pPr>
            <w:r w:rsidRPr="00C6577B">
              <w:rPr>
                <w:rFonts w:cs="Arial"/>
              </w:rPr>
              <w:t>Class U</w:t>
            </w:r>
            <w:r w:rsidR="003D4FDA" w:rsidRPr="00C6577B">
              <w:rPr>
                <w:rFonts w:cs="Arial"/>
              </w:rPr>
              <w:t>1</w:t>
            </w:r>
            <w:r w:rsidRPr="00C6577B">
              <w:rPr>
                <w:rFonts w:cs="Arial"/>
              </w:rPr>
              <w:t xml:space="preserve"> – £500,000</w:t>
            </w:r>
          </w:p>
        </w:tc>
        <w:tc>
          <w:tcPr>
            <w:tcW w:w="4140" w:type="dxa"/>
          </w:tcPr>
          <w:p w:rsidR="006C762D" w:rsidRPr="00C6577B" w:rsidRDefault="006C762D" w:rsidP="00097E6C">
            <w:pPr>
              <w:jc w:val="center"/>
              <w:rPr>
                <w:rFonts w:cs="Arial"/>
              </w:rPr>
            </w:pPr>
            <w:r w:rsidRPr="00C6577B">
              <w:rPr>
                <w:rFonts w:cs="Arial"/>
              </w:rPr>
              <w:t>£10,000</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withdrawal amount</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C6577B" w:rsidRDefault="006C762D" w:rsidP="006C762D">
            <w:pPr>
              <w:spacing w:after="0"/>
              <w:jc w:val="center"/>
              <w:rPr>
                <w:rFonts w:cs="Arial"/>
              </w:rPr>
            </w:pPr>
            <w:r w:rsidRPr="00C6577B">
              <w:rPr>
                <w:rFonts w:cs="Arial"/>
              </w:rPr>
              <w:t>Class R - £50,000</w:t>
            </w:r>
          </w:p>
          <w:p w:rsidR="006C762D" w:rsidRPr="00C6577B" w:rsidRDefault="006C762D" w:rsidP="006C762D">
            <w:pPr>
              <w:spacing w:after="0"/>
              <w:jc w:val="center"/>
              <w:rPr>
                <w:rFonts w:cs="Arial"/>
              </w:rPr>
            </w:pPr>
            <w:r w:rsidRPr="00C6577B">
              <w:rPr>
                <w:rFonts w:cs="Arial"/>
              </w:rPr>
              <w:t>Class S - Subject to minimum holding below</w:t>
            </w:r>
            <w:r w:rsidR="003D4FDA" w:rsidRPr="00C6577B">
              <w:rPr>
                <w:rFonts w:cs="Arial"/>
              </w:rPr>
              <w:br/>
              <w:t>Class U1 - £500,000</w:t>
            </w:r>
          </w:p>
        </w:tc>
        <w:tc>
          <w:tcPr>
            <w:tcW w:w="4140" w:type="dxa"/>
          </w:tcPr>
          <w:p w:rsidR="006C762D" w:rsidRPr="00C6577B" w:rsidRDefault="006C762D" w:rsidP="00097E6C">
            <w:pPr>
              <w:jc w:val="center"/>
              <w:rPr>
                <w:rFonts w:cs="Arial"/>
              </w:rPr>
            </w:pPr>
            <w:r w:rsidRPr="00C6577B">
              <w:rPr>
                <w:rFonts w:cs="Arial"/>
              </w:rPr>
              <w:t>£10,000</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lastRenderedPageBreak/>
              <w:t>Minimum balance</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C6577B" w:rsidRDefault="003D4FDA" w:rsidP="003D4FDA">
            <w:pPr>
              <w:spacing w:after="0"/>
              <w:jc w:val="center"/>
              <w:rPr>
                <w:rFonts w:cs="Arial"/>
              </w:rPr>
            </w:pPr>
            <w:r w:rsidRPr="00C6577B">
              <w:rPr>
                <w:rFonts w:cs="Arial"/>
              </w:rPr>
              <w:t xml:space="preserve">Class R - </w:t>
            </w:r>
            <w:r w:rsidR="006C762D" w:rsidRPr="00C6577B">
              <w:rPr>
                <w:rFonts w:cs="Arial"/>
              </w:rPr>
              <w:t>£</w:t>
            </w:r>
            <w:r w:rsidRPr="00C6577B">
              <w:rPr>
                <w:rFonts w:cs="Arial"/>
              </w:rPr>
              <w:t>2</w:t>
            </w:r>
            <w:r w:rsidR="006C762D" w:rsidRPr="00C6577B">
              <w:rPr>
                <w:rFonts w:cs="Arial"/>
              </w:rPr>
              <w:t>,</w:t>
            </w:r>
            <w:r w:rsidRPr="00C6577B">
              <w:rPr>
                <w:rFonts w:cs="Arial"/>
              </w:rPr>
              <w:t>5</w:t>
            </w:r>
            <w:r w:rsidR="006C762D" w:rsidRPr="00C6577B">
              <w:rPr>
                <w:rFonts w:cs="Arial"/>
              </w:rPr>
              <w:t>00</w:t>
            </w:r>
            <w:r w:rsidRPr="00C6577B">
              <w:rPr>
                <w:rFonts w:cs="Arial"/>
              </w:rPr>
              <w:t>,000</w:t>
            </w:r>
          </w:p>
          <w:p w:rsidR="003D4FDA" w:rsidRPr="00C6577B" w:rsidRDefault="003D4FDA" w:rsidP="003D4FDA">
            <w:pPr>
              <w:spacing w:after="0"/>
              <w:jc w:val="center"/>
              <w:rPr>
                <w:rFonts w:cs="Arial"/>
              </w:rPr>
            </w:pPr>
            <w:r w:rsidRPr="00C6577B">
              <w:rPr>
                <w:rFonts w:cs="Arial"/>
              </w:rPr>
              <w:t>Class S - £10,000</w:t>
            </w:r>
          </w:p>
          <w:p w:rsidR="003D4FDA" w:rsidRPr="00C6577B" w:rsidRDefault="003D4FDA" w:rsidP="003D4FDA">
            <w:pPr>
              <w:spacing w:after="0"/>
              <w:jc w:val="center"/>
              <w:rPr>
                <w:rFonts w:cs="Arial"/>
              </w:rPr>
            </w:pPr>
            <w:r w:rsidRPr="00C6577B">
              <w:rPr>
                <w:rFonts w:cs="Arial"/>
              </w:rPr>
              <w:t>Class U1 - £37,500,000</w:t>
            </w:r>
          </w:p>
        </w:tc>
        <w:tc>
          <w:tcPr>
            <w:tcW w:w="4140" w:type="dxa"/>
          </w:tcPr>
          <w:p w:rsidR="006C762D" w:rsidRPr="00C6577B" w:rsidRDefault="006C762D" w:rsidP="00097E6C">
            <w:pPr>
              <w:jc w:val="center"/>
              <w:rPr>
                <w:rFonts w:cs="Arial"/>
              </w:rPr>
            </w:pPr>
            <w:r w:rsidRPr="00C6577B">
              <w:rPr>
                <w:rFonts w:cs="Arial"/>
              </w:rPr>
              <w:t>£3,000,000</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Switch charge</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09387C" w:rsidRDefault="006C762D" w:rsidP="00097E6C">
            <w:pPr>
              <w:jc w:val="center"/>
              <w:rPr>
                <w:rFonts w:cs="Arial"/>
              </w:rPr>
            </w:pPr>
            <w:r w:rsidRPr="0009387C">
              <w:rPr>
                <w:rFonts w:cs="Arial"/>
              </w:rPr>
              <w:t>0%</w:t>
            </w:r>
          </w:p>
        </w:tc>
        <w:tc>
          <w:tcPr>
            <w:tcW w:w="4140" w:type="dxa"/>
          </w:tcPr>
          <w:p w:rsidR="006C762D" w:rsidRPr="0009387C" w:rsidRDefault="00822309" w:rsidP="002A1F14">
            <w:pPr>
              <w:jc w:val="center"/>
              <w:rPr>
                <w:rFonts w:cs="Arial"/>
              </w:rPr>
            </w:pPr>
            <w:r>
              <w:rPr>
                <w:rFonts w:cs="Arial"/>
              </w:rPr>
              <w:t>0%</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regular payment</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6C762D" w:rsidRDefault="006C762D" w:rsidP="00097E6C">
            <w:pPr>
              <w:jc w:val="center"/>
              <w:rPr>
                <w:rFonts w:cs="Arial"/>
              </w:rPr>
            </w:pPr>
            <w:r w:rsidRPr="006C762D">
              <w:rPr>
                <w:rFonts w:cs="Arial"/>
              </w:rPr>
              <w:t>N/A</w:t>
            </w:r>
          </w:p>
        </w:tc>
        <w:tc>
          <w:tcPr>
            <w:tcW w:w="4140" w:type="dxa"/>
          </w:tcPr>
          <w:p w:rsidR="006C762D" w:rsidRPr="006C762D" w:rsidRDefault="006C762D" w:rsidP="00097E6C">
            <w:pPr>
              <w:jc w:val="center"/>
              <w:rPr>
                <w:rFonts w:cs="Arial"/>
              </w:rPr>
            </w:pPr>
            <w:r w:rsidRPr="006C762D">
              <w:rPr>
                <w:rFonts w:cs="Arial"/>
              </w:rPr>
              <w:t>N/A</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additional regular payment</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6C762D" w:rsidRDefault="006C762D" w:rsidP="00097E6C">
            <w:pPr>
              <w:jc w:val="center"/>
              <w:rPr>
                <w:rFonts w:cs="Arial"/>
              </w:rPr>
            </w:pPr>
            <w:r w:rsidRPr="006C762D">
              <w:rPr>
                <w:rFonts w:cs="Arial"/>
              </w:rPr>
              <w:t>N/A</w:t>
            </w:r>
          </w:p>
        </w:tc>
        <w:tc>
          <w:tcPr>
            <w:tcW w:w="4140" w:type="dxa"/>
          </w:tcPr>
          <w:p w:rsidR="006C762D" w:rsidRPr="0009387C" w:rsidRDefault="006C762D" w:rsidP="00097E6C">
            <w:pPr>
              <w:jc w:val="center"/>
              <w:rPr>
                <w:rFonts w:cs="Arial"/>
              </w:rPr>
            </w:pPr>
            <w:r>
              <w:rPr>
                <w:rFonts w:cs="Arial"/>
              </w:rPr>
              <w:t>N/A</w:t>
            </w:r>
          </w:p>
        </w:tc>
      </w:tr>
      <w:tr w:rsidR="006C762D" w:rsidRPr="0009387C" w:rsidTr="003D4FDA">
        <w:trPr>
          <w:cantSplit/>
        </w:trPr>
        <w:tc>
          <w:tcPr>
            <w:tcW w:w="1985" w:type="dxa"/>
          </w:tcPr>
          <w:p w:rsidR="006C762D" w:rsidRPr="0009387C" w:rsidRDefault="006C762D"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Exit charges*</w:t>
            </w:r>
          </w:p>
          <w:p w:rsidR="006C762D" w:rsidRPr="0009387C" w:rsidRDefault="006C762D" w:rsidP="00097E6C">
            <w:pPr>
              <w:autoSpaceDE w:val="0"/>
              <w:autoSpaceDN w:val="0"/>
              <w:adjustRightInd w:val="0"/>
              <w:spacing w:after="0"/>
              <w:jc w:val="center"/>
              <w:rPr>
                <w:rFonts w:cs="Arial"/>
                <w:b/>
                <w:bCs/>
                <w:color w:val="000000"/>
                <w:lang w:eastAsia="en-GB"/>
              </w:rPr>
            </w:pPr>
          </w:p>
        </w:tc>
        <w:tc>
          <w:tcPr>
            <w:tcW w:w="4230" w:type="dxa"/>
          </w:tcPr>
          <w:p w:rsidR="006C762D" w:rsidRPr="0009387C" w:rsidRDefault="006C762D" w:rsidP="00097E6C">
            <w:pPr>
              <w:jc w:val="center"/>
              <w:rPr>
                <w:rFonts w:cs="Arial"/>
              </w:rPr>
            </w:pPr>
            <w:r>
              <w:rPr>
                <w:rFonts w:cs="Arial"/>
              </w:rPr>
              <w:t>NIL</w:t>
            </w:r>
          </w:p>
        </w:tc>
        <w:tc>
          <w:tcPr>
            <w:tcW w:w="4140" w:type="dxa"/>
          </w:tcPr>
          <w:p w:rsidR="006C762D" w:rsidRPr="0009387C" w:rsidRDefault="009106E9" w:rsidP="002A1F14">
            <w:pPr>
              <w:jc w:val="center"/>
              <w:rPr>
                <w:rFonts w:cs="Arial"/>
              </w:rPr>
            </w:pPr>
            <w:r>
              <w:rPr>
                <w:rFonts w:cs="Arial"/>
              </w:rPr>
              <w:t>Up to 3 % if Shares redeemed within 90 days of purchase</w:t>
            </w:r>
          </w:p>
        </w:tc>
      </w:tr>
      <w:tr w:rsidR="00170261" w:rsidRPr="0009387C" w:rsidTr="003D4FDA">
        <w:trPr>
          <w:cantSplit/>
        </w:trPr>
        <w:tc>
          <w:tcPr>
            <w:tcW w:w="1985" w:type="dxa"/>
          </w:tcPr>
          <w:p w:rsidR="00170261" w:rsidRPr="0009387C" w:rsidRDefault="00170261" w:rsidP="00097E6C">
            <w:pPr>
              <w:autoSpaceDE w:val="0"/>
              <w:autoSpaceDN w:val="0"/>
              <w:adjustRightInd w:val="0"/>
              <w:spacing w:after="0"/>
              <w:jc w:val="center"/>
              <w:rPr>
                <w:rFonts w:cs="Arial"/>
                <w:b/>
                <w:bCs/>
                <w:color w:val="000000"/>
                <w:lang w:eastAsia="en-GB"/>
              </w:rPr>
            </w:pPr>
            <w:r>
              <w:rPr>
                <w:rFonts w:cs="Arial"/>
                <w:b/>
                <w:bCs/>
                <w:color w:val="000000"/>
                <w:lang w:eastAsia="en-GB"/>
              </w:rPr>
              <w:t>Pricing</w:t>
            </w:r>
          </w:p>
        </w:tc>
        <w:tc>
          <w:tcPr>
            <w:tcW w:w="4230" w:type="dxa"/>
          </w:tcPr>
          <w:p w:rsidR="00170261" w:rsidRDefault="002201C0" w:rsidP="00097E6C">
            <w:pPr>
              <w:jc w:val="center"/>
              <w:rPr>
                <w:rFonts w:cs="Arial"/>
              </w:rPr>
            </w:pPr>
            <w:r>
              <w:rPr>
                <w:rFonts w:cs="Arial"/>
              </w:rPr>
              <w:t>Forward pricing basis</w:t>
            </w:r>
          </w:p>
        </w:tc>
        <w:tc>
          <w:tcPr>
            <w:tcW w:w="4140" w:type="dxa"/>
          </w:tcPr>
          <w:p w:rsidR="00170261" w:rsidRDefault="002201C0" w:rsidP="002A1F14">
            <w:pPr>
              <w:jc w:val="center"/>
              <w:rPr>
                <w:rFonts w:cs="Arial"/>
              </w:rPr>
            </w:pPr>
            <w:r>
              <w:rPr>
                <w:rFonts w:cs="Arial"/>
              </w:rPr>
              <w:t>Forward pricing basis</w:t>
            </w:r>
          </w:p>
        </w:tc>
      </w:tr>
      <w:tr w:rsidR="00170261" w:rsidRPr="0009387C" w:rsidTr="003D4FDA">
        <w:trPr>
          <w:cantSplit/>
        </w:trPr>
        <w:tc>
          <w:tcPr>
            <w:tcW w:w="1985" w:type="dxa"/>
          </w:tcPr>
          <w:p w:rsidR="00170261" w:rsidRDefault="00170261" w:rsidP="00097E6C">
            <w:pPr>
              <w:autoSpaceDE w:val="0"/>
              <w:autoSpaceDN w:val="0"/>
              <w:adjustRightInd w:val="0"/>
              <w:spacing w:after="0"/>
              <w:jc w:val="center"/>
              <w:rPr>
                <w:rFonts w:cs="Arial"/>
                <w:b/>
                <w:bCs/>
                <w:color w:val="000000"/>
                <w:lang w:eastAsia="en-GB"/>
              </w:rPr>
            </w:pPr>
            <w:r>
              <w:rPr>
                <w:rFonts w:cs="Arial"/>
                <w:b/>
                <w:bCs/>
                <w:color w:val="000000"/>
                <w:lang w:eastAsia="en-GB"/>
              </w:rPr>
              <w:t>Accounting date</w:t>
            </w:r>
          </w:p>
        </w:tc>
        <w:tc>
          <w:tcPr>
            <w:tcW w:w="4230" w:type="dxa"/>
          </w:tcPr>
          <w:p w:rsidR="00170261" w:rsidRPr="00C6577B" w:rsidRDefault="00DF6554" w:rsidP="00097E6C">
            <w:pPr>
              <w:jc w:val="center"/>
              <w:rPr>
                <w:rFonts w:cs="Arial"/>
              </w:rPr>
            </w:pPr>
            <w:r w:rsidRPr="00C6577B">
              <w:rPr>
                <w:rFonts w:cs="Arial"/>
              </w:rPr>
              <w:t>31 March</w:t>
            </w:r>
          </w:p>
        </w:tc>
        <w:tc>
          <w:tcPr>
            <w:tcW w:w="4140" w:type="dxa"/>
          </w:tcPr>
          <w:p w:rsidR="00170261" w:rsidRPr="00C6577B" w:rsidRDefault="00DF6554" w:rsidP="002A1F14">
            <w:pPr>
              <w:jc w:val="center"/>
              <w:rPr>
                <w:rFonts w:cs="Arial"/>
              </w:rPr>
            </w:pPr>
            <w:r w:rsidRPr="00C6577B">
              <w:rPr>
                <w:rFonts w:cs="Arial"/>
              </w:rPr>
              <w:t>31 May (annual)</w:t>
            </w:r>
          </w:p>
          <w:p w:rsidR="00DF6554" w:rsidRPr="00C6577B" w:rsidRDefault="00DF6554" w:rsidP="002A1F14">
            <w:pPr>
              <w:jc w:val="center"/>
              <w:rPr>
                <w:rFonts w:cs="Arial"/>
              </w:rPr>
            </w:pPr>
            <w:r w:rsidRPr="00C6577B">
              <w:rPr>
                <w:rFonts w:cs="Arial"/>
              </w:rPr>
              <w:t>30 November (semi-annual)</w:t>
            </w:r>
          </w:p>
          <w:p w:rsidR="00DF6554" w:rsidRPr="00C6577B" w:rsidRDefault="00DF6554" w:rsidP="002A1F14">
            <w:pPr>
              <w:jc w:val="center"/>
              <w:rPr>
                <w:rFonts w:cs="Arial"/>
              </w:rPr>
            </w:pPr>
            <w:r w:rsidRPr="00C6577B">
              <w:rPr>
                <w:rFonts w:cs="Arial"/>
              </w:rPr>
              <w:t>Last day of February and 31 August (interim)</w:t>
            </w:r>
          </w:p>
        </w:tc>
      </w:tr>
      <w:tr w:rsidR="00170261" w:rsidRPr="0009387C" w:rsidTr="003D4FDA">
        <w:trPr>
          <w:cantSplit/>
        </w:trPr>
        <w:tc>
          <w:tcPr>
            <w:tcW w:w="1985" w:type="dxa"/>
          </w:tcPr>
          <w:p w:rsidR="00170261" w:rsidRDefault="00170261" w:rsidP="00097E6C">
            <w:pPr>
              <w:autoSpaceDE w:val="0"/>
              <w:autoSpaceDN w:val="0"/>
              <w:adjustRightInd w:val="0"/>
              <w:spacing w:after="0"/>
              <w:jc w:val="center"/>
              <w:rPr>
                <w:rFonts w:cs="Arial"/>
                <w:b/>
                <w:bCs/>
                <w:color w:val="000000"/>
                <w:lang w:eastAsia="en-GB"/>
              </w:rPr>
            </w:pPr>
            <w:r w:rsidRPr="00170261">
              <w:rPr>
                <w:rFonts w:cs="Arial"/>
                <w:b/>
                <w:bCs/>
                <w:color w:val="000000"/>
                <w:lang w:eastAsia="en-GB"/>
              </w:rPr>
              <w:t>Income allocation/accumulation date</w:t>
            </w:r>
          </w:p>
        </w:tc>
        <w:tc>
          <w:tcPr>
            <w:tcW w:w="4230" w:type="dxa"/>
          </w:tcPr>
          <w:p w:rsidR="00170261" w:rsidRPr="00C6577B" w:rsidRDefault="00756831" w:rsidP="00097E6C">
            <w:pPr>
              <w:jc w:val="center"/>
              <w:rPr>
                <w:rFonts w:cs="Arial"/>
              </w:rPr>
            </w:pPr>
            <w:r w:rsidRPr="00C6577B">
              <w:rPr>
                <w:rFonts w:cs="Arial"/>
              </w:rPr>
              <w:t>31 May and 30 November</w:t>
            </w:r>
          </w:p>
        </w:tc>
        <w:tc>
          <w:tcPr>
            <w:tcW w:w="4140" w:type="dxa"/>
          </w:tcPr>
          <w:p w:rsidR="00485A2B" w:rsidRPr="00C6577B" w:rsidRDefault="00485A2B" w:rsidP="00485A2B">
            <w:pPr>
              <w:jc w:val="center"/>
              <w:rPr>
                <w:rFonts w:cs="Arial"/>
              </w:rPr>
            </w:pPr>
            <w:r w:rsidRPr="00C6577B">
              <w:rPr>
                <w:rFonts w:cs="Arial"/>
              </w:rPr>
              <w:t>31</w:t>
            </w:r>
          </w:p>
          <w:p w:rsidR="00170261" w:rsidRPr="00C6577B" w:rsidRDefault="00485A2B" w:rsidP="00485A2B">
            <w:pPr>
              <w:jc w:val="center"/>
              <w:rPr>
                <w:rFonts w:cs="Arial"/>
              </w:rPr>
            </w:pPr>
            <w:r w:rsidRPr="00C6577B">
              <w:rPr>
                <w:rFonts w:cs="Arial"/>
              </w:rPr>
              <w:t>January, 30 April, 31 July and 31 October</w:t>
            </w:r>
          </w:p>
        </w:tc>
      </w:tr>
    </w:tbl>
    <w:p w:rsidR="006C762D" w:rsidRDefault="006C762D" w:rsidP="0009387C">
      <w:pPr>
        <w:rPr>
          <w:rFonts w:cs="Arial"/>
          <w:b/>
        </w:rPr>
      </w:pPr>
    </w:p>
    <w:tbl>
      <w:tblPr>
        <w:tblpPr w:leftFromText="180" w:rightFromText="180" w:vertAnchor="text" w:horzAnchor="margin" w:tblpX="-355" w:tblpY="122"/>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4140"/>
        <w:gridCol w:w="3965"/>
      </w:tblGrid>
      <w:tr w:rsidR="003D4FDA" w:rsidRPr="0009387C" w:rsidTr="003D4FDA">
        <w:trPr>
          <w:cantSplit/>
          <w:trHeight w:val="368"/>
        </w:trPr>
        <w:tc>
          <w:tcPr>
            <w:tcW w:w="2250" w:type="dxa"/>
            <w:shd w:val="clear" w:color="auto" w:fill="BFBFBF" w:themeFill="background1" w:themeFillShade="BF"/>
          </w:tcPr>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shd w:val="clear" w:color="auto" w:fill="BFBFBF" w:themeFill="background1" w:themeFillShade="BF"/>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Discontinuing Fund</w:t>
            </w:r>
          </w:p>
        </w:tc>
        <w:tc>
          <w:tcPr>
            <w:tcW w:w="3965" w:type="dxa"/>
            <w:shd w:val="clear" w:color="auto" w:fill="BFBFBF" w:themeFill="background1" w:themeFillShade="BF"/>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Continuing Fund</w:t>
            </w:r>
          </w:p>
        </w:tc>
      </w:tr>
      <w:tr w:rsidR="003D4FDA" w:rsidRPr="0009387C" w:rsidTr="003D4FDA">
        <w:trPr>
          <w:cantSplit/>
          <w:trHeight w:val="368"/>
        </w:trPr>
        <w:tc>
          <w:tcPr>
            <w:tcW w:w="2250" w:type="dxa"/>
            <w:shd w:val="clear" w:color="auto" w:fill="BFBFBF" w:themeFill="background1" w:themeFillShade="BF"/>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Fund name</w:t>
            </w:r>
          </w:p>
        </w:tc>
        <w:tc>
          <w:tcPr>
            <w:tcW w:w="4140" w:type="dxa"/>
            <w:shd w:val="clear" w:color="auto" w:fill="BFBFBF" w:themeFill="background1" w:themeFillShade="BF"/>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 xml:space="preserve">Old Mutual </w:t>
            </w:r>
            <w:r>
              <w:rPr>
                <w:rFonts w:cs="Arial"/>
                <w:b/>
                <w:bCs/>
                <w:color w:val="000000"/>
                <w:lang w:eastAsia="en-GB"/>
              </w:rPr>
              <w:t>Property</w:t>
            </w:r>
            <w:r w:rsidRPr="0009387C">
              <w:rPr>
                <w:rFonts w:cs="Arial"/>
                <w:b/>
                <w:bCs/>
                <w:color w:val="000000"/>
                <w:lang w:eastAsia="en-GB"/>
              </w:rPr>
              <w:t xml:space="preserve"> Fund</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3965" w:type="dxa"/>
            <w:shd w:val="clear" w:color="auto" w:fill="BFBFBF" w:themeFill="background1" w:themeFillShade="BF"/>
          </w:tcPr>
          <w:p w:rsidR="003D4FDA" w:rsidRPr="0009387C" w:rsidRDefault="003D4FDA" w:rsidP="00097E6C">
            <w:pPr>
              <w:autoSpaceDE w:val="0"/>
              <w:autoSpaceDN w:val="0"/>
              <w:adjustRightInd w:val="0"/>
              <w:spacing w:after="0"/>
              <w:jc w:val="center"/>
              <w:rPr>
                <w:rFonts w:cs="Arial"/>
                <w:b/>
                <w:bCs/>
                <w:color w:val="000000"/>
                <w:lang w:eastAsia="en-GB"/>
              </w:rPr>
            </w:pPr>
            <w:r>
              <w:rPr>
                <w:rFonts w:cs="Arial"/>
                <w:b/>
              </w:rPr>
              <w:t>Henderson UK Property OEIC</w:t>
            </w:r>
          </w:p>
        </w:tc>
      </w:tr>
      <w:tr w:rsidR="003D4FDA" w:rsidRPr="0009387C" w:rsidTr="003D4FDA">
        <w:trPr>
          <w:cantSplit/>
        </w:trPr>
        <w:tc>
          <w:tcPr>
            <w:tcW w:w="2250" w:type="dxa"/>
            <w:shd w:val="clear" w:color="auto" w:fill="BFBFBF" w:themeFill="background1" w:themeFillShade="BF"/>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Unit / Share class</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shd w:val="clear" w:color="auto" w:fill="BFBFBF" w:themeFill="background1" w:themeFillShade="BF"/>
          </w:tcPr>
          <w:p w:rsidR="003D4FDA" w:rsidRPr="003D4FDA" w:rsidRDefault="003D4FDA" w:rsidP="00097E6C">
            <w:pPr>
              <w:autoSpaceDE w:val="0"/>
              <w:autoSpaceDN w:val="0"/>
              <w:adjustRightInd w:val="0"/>
              <w:spacing w:after="0"/>
              <w:jc w:val="center"/>
              <w:rPr>
                <w:rFonts w:cs="Arial"/>
                <w:b/>
                <w:bCs/>
                <w:color w:val="000000"/>
                <w:lang w:eastAsia="en-GB"/>
              </w:rPr>
            </w:pPr>
            <w:r w:rsidRPr="003D4FDA">
              <w:rPr>
                <w:rFonts w:cs="Arial"/>
                <w:b/>
                <w:bCs/>
                <w:color w:val="000000"/>
                <w:lang w:eastAsia="en-GB"/>
              </w:rPr>
              <w:t xml:space="preserve">Class </w:t>
            </w:r>
            <w:r w:rsidR="00816C0C">
              <w:rPr>
                <w:rFonts w:cs="Arial"/>
                <w:b/>
                <w:bCs/>
                <w:color w:val="000000"/>
                <w:lang w:eastAsia="en-GB"/>
              </w:rPr>
              <w:t>U2</w:t>
            </w:r>
            <w:r w:rsidRPr="003D4FDA">
              <w:rPr>
                <w:rFonts w:cs="Arial"/>
                <w:b/>
                <w:bCs/>
                <w:color w:val="000000"/>
                <w:lang w:eastAsia="en-GB"/>
              </w:rPr>
              <w:t xml:space="preserve"> (GBP) Accumulation Units and </w:t>
            </w:r>
            <w:r w:rsidRPr="003D4FDA">
              <w:rPr>
                <w:rFonts w:cs="Arial"/>
                <w:b/>
                <w:bCs/>
                <w:color w:val="000000"/>
                <w:lang w:eastAsia="en-GB"/>
              </w:rPr>
              <w:br/>
              <w:t xml:space="preserve">Class </w:t>
            </w:r>
            <w:r w:rsidR="00816C0C">
              <w:rPr>
                <w:rFonts w:cs="Arial"/>
                <w:b/>
                <w:bCs/>
                <w:color w:val="000000"/>
                <w:lang w:eastAsia="en-GB"/>
              </w:rPr>
              <w:t>U2</w:t>
            </w:r>
            <w:r w:rsidRPr="003D4FDA">
              <w:rPr>
                <w:rFonts w:cs="Arial"/>
                <w:b/>
                <w:bCs/>
                <w:color w:val="000000"/>
                <w:lang w:eastAsia="en-GB"/>
              </w:rPr>
              <w:t xml:space="preserve"> (GBP) Income Units </w:t>
            </w:r>
          </w:p>
          <w:p w:rsidR="003D4FDA" w:rsidRPr="003D4FDA" w:rsidRDefault="003D4FDA" w:rsidP="00097E6C">
            <w:pPr>
              <w:autoSpaceDE w:val="0"/>
              <w:autoSpaceDN w:val="0"/>
              <w:adjustRightInd w:val="0"/>
              <w:spacing w:after="0"/>
              <w:jc w:val="center"/>
              <w:rPr>
                <w:rFonts w:cs="Arial"/>
                <w:b/>
                <w:bCs/>
                <w:color w:val="000000"/>
                <w:lang w:eastAsia="en-GB"/>
              </w:rPr>
            </w:pPr>
          </w:p>
        </w:tc>
        <w:tc>
          <w:tcPr>
            <w:tcW w:w="3965" w:type="dxa"/>
            <w:shd w:val="clear" w:color="auto" w:fill="BFBFBF" w:themeFill="background1" w:themeFillShade="BF"/>
          </w:tcPr>
          <w:p w:rsidR="003D4FDA" w:rsidRPr="003D4FDA" w:rsidRDefault="003D4FDA" w:rsidP="00097E6C">
            <w:pPr>
              <w:autoSpaceDE w:val="0"/>
              <w:autoSpaceDN w:val="0"/>
              <w:adjustRightInd w:val="0"/>
              <w:spacing w:after="0"/>
              <w:jc w:val="center"/>
              <w:rPr>
                <w:rFonts w:cs="Arial"/>
                <w:b/>
                <w:bCs/>
                <w:color w:val="000000"/>
                <w:lang w:eastAsia="en-GB"/>
              </w:rPr>
            </w:pPr>
            <w:r w:rsidRPr="003D4FDA">
              <w:rPr>
                <w:rFonts w:cs="Arial"/>
                <w:b/>
                <w:bCs/>
                <w:color w:val="000000"/>
                <w:lang w:eastAsia="en-GB"/>
              </w:rPr>
              <w:t xml:space="preserve">Class </w:t>
            </w:r>
            <w:r w:rsidR="00816C0C">
              <w:rPr>
                <w:rFonts w:cs="Arial"/>
                <w:b/>
                <w:bCs/>
                <w:color w:val="000000"/>
                <w:lang w:eastAsia="en-GB"/>
              </w:rPr>
              <w:t>U2</w:t>
            </w:r>
            <w:r w:rsidRPr="003D4FDA">
              <w:rPr>
                <w:rFonts w:cs="Arial"/>
                <w:b/>
                <w:bCs/>
                <w:color w:val="000000"/>
                <w:lang w:eastAsia="en-GB"/>
              </w:rPr>
              <w:t xml:space="preserve"> Accumulation and Income </w:t>
            </w:r>
          </w:p>
          <w:p w:rsidR="003D4FDA" w:rsidRPr="003D4FDA" w:rsidRDefault="003D4FDA" w:rsidP="00097E6C">
            <w:pPr>
              <w:autoSpaceDE w:val="0"/>
              <w:autoSpaceDN w:val="0"/>
              <w:adjustRightInd w:val="0"/>
              <w:spacing w:after="0"/>
              <w:jc w:val="center"/>
              <w:rPr>
                <w:rFonts w:cs="Arial"/>
                <w:b/>
                <w:bCs/>
                <w:color w:val="000000"/>
                <w:lang w:eastAsia="en-GB"/>
              </w:rPr>
            </w:pP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Currency</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09387C" w:rsidRDefault="003D4FDA" w:rsidP="00097E6C">
            <w:pPr>
              <w:autoSpaceDE w:val="0"/>
              <w:autoSpaceDN w:val="0"/>
              <w:adjustRightInd w:val="0"/>
              <w:spacing w:after="0"/>
              <w:jc w:val="center"/>
              <w:rPr>
                <w:rFonts w:cs="Arial"/>
                <w:bCs/>
                <w:color w:val="000000"/>
                <w:lang w:eastAsia="en-GB"/>
              </w:rPr>
            </w:pPr>
            <w:r w:rsidRPr="0009387C">
              <w:rPr>
                <w:rFonts w:cs="Arial"/>
                <w:bCs/>
                <w:color w:val="000000"/>
                <w:lang w:eastAsia="en-GB"/>
              </w:rPr>
              <w:t>Sterling</w:t>
            </w:r>
          </w:p>
        </w:tc>
        <w:tc>
          <w:tcPr>
            <w:tcW w:w="3965" w:type="dxa"/>
          </w:tcPr>
          <w:p w:rsidR="003D4FDA" w:rsidRPr="0009387C" w:rsidRDefault="003D4FDA" w:rsidP="00097E6C">
            <w:pPr>
              <w:autoSpaceDE w:val="0"/>
              <w:autoSpaceDN w:val="0"/>
              <w:adjustRightInd w:val="0"/>
              <w:spacing w:after="0"/>
              <w:jc w:val="center"/>
              <w:rPr>
                <w:rFonts w:cs="Arial"/>
                <w:b/>
                <w:bCs/>
                <w:color w:val="000000"/>
                <w:lang w:eastAsia="en-GB"/>
              </w:rPr>
            </w:pPr>
            <w:r>
              <w:rPr>
                <w:rFonts w:cs="Arial"/>
              </w:rPr>
              <w:t>Sterling</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Initial charge</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C6577B" w:rsidRDefault="003D4FDA" w:rsidP="00097E6C">
            <w:pPr>
              <w:spacing w:after="0"/>
              <w:jc w:val="center"/>
              <w:rPr>
                <w:rFonts w:cs="Arial"/>
              </w:rPr>
            </w:pPr>
            <w:r w:rsidRPr="00C6577B">
              <w:rPr>
                <w:rFonts w:cs="Arial"/>
              </w:rPr>
              <w:t>5.00%</w:t>
            </w:r>
          </w:p>
        </w:tc>
        <w:tc>
          <w:tcPr>
            <w:tcW w:w="3965" w:type="dxa"/>
          </w:tcPr>
          <w:p w:rsidR="003D4FDA" w:rsidRPr="00C6577B" w:rsidRDefault="003D4FDA" w:rsidP="00097E6C">
            <w:pPr>
              <w:spacing w:after="0"/>
              <w:jc w:val="center"/>
              <w:rPr>
                <w:rFonts w:cs="Arial"/>
              </w:rPr>
            </w:pPr>
            <w:r w:rsidRPr="00C6577B">
              <w:rPr>
                <w:rFonts w:cs="Arial"/>
              </w:rPr>
              <w:t>0%</w:t>
            </w:r>
          </w:p>
        </w:tc>
      </w:tr>
      <w:tr w:rsidR="00822309" w:rsidRPr="0009387C" w:rsidTr="00097E6C">
        <w:trPr>
          <w:cantSplit/>
        </w:trPr>
        <w:tc>
          <w:tcPr>
            <w:tcW w:w="2250" w:type="dxa"/>
          </w:tcPr>
          <w:p w:rsidR="00822309" w:rsidRPr="0009387C" w:rsidRDefault="00822309" w:rsidP="00097E6C">
            <w:pPr>
              <w:autoSpaceDE w:val="0"/>
              <w:autoSpaceDN w:val="0"/>
              <w:adjustRightInd w:val="0"/>
              <w:spacing w:after="0"/>
              <w:jc w:val="center"/>
              <w:rPr>
                <w:rFonts w:cs="Arial"/>
                <w:b/>
                <w:bCs/>
                <w:color w:val="000000"/>
                <w:lang w:eastAsia="en-GB"/>
              </w:rPr>
            </w:pPr>
            <w:r>
              <w:rPr>
                <w:rFonts w:cs="Arial"/>
                <w:b/>
                <w:bCs/>
                <w:color w:val="000000"/>
                <w:lang w:eastAsia="en-GB"/>
              </w:rPr>
              <w:t>Ongoing charges</w:t>
            </w:r>
          </w:p>
        </w:tc>
        <w:tc>
          <w:tcPr>
            <w:tcW w:w="4140" w:type="dxa"/>
          </w:tcPr>
          <w:p w:rsidR="00822309" w:rsidRPr="00C6577B" w:rsidRDefault="00BB6E27" w:rsidP="00097E6C">
            <w:pPr>
              <w:spacing w:after="0"/>
              <w:jc w:val="center"/>
              <w:rPr>
                <w:rFonts w:cs="Arial"/>
              </w:rPr>
            </w:pPr>
            <w:r w:rsidRPr="00C6577B">
              <w:rPr>
                <w:rFonts w:cs="Arial"/>
              </w:rPr>
              <w:t>1.42%</w:t>
            </w:r>
          </w:p>
        </w:tc>
        <w:tc>
          <w:tcPr>
            <w:tcW w:w="3965" w:type="dxa"/>
          </w:tcPr>
          <w:p w:rsidR="00822309" w:rsidRPr="00C6577B" w:rsidRDefault="00822309" w:rsidP="00097E6C">
            <w:pPr>
              <w:spacing w:after="0"/>
              <w:jc w:val="center"/>
              <w:rPr>
                <w:rFonts w:cs="Arial"/>
              </w:rPr>
            </w:pPr>
            <w:r w:rsidRPr="00C6577B">
              <w:rPr>
                <w:rFonts w:cs="Arial"/>
              </w:rPr>
              <w:t>0.</w:t>
            </w:r>
            <w:r w:rsidR="00C6577B" w:rsidRPr="00C6577B">
              <w:rPr>
                <w:rFonts w:cs="Arial"/>
              </w:rPr>
              <w:t>79</w:t>
            </w:r>
            <w:r w:rsidRPr="00C6577B">
              <w:rPr>
                <w:rFonts w:cs="Arial"/>
              </w:rPr>
              <w:t>%</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Annual management charge</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C6577B" w:rsidRDefault="003D4FDA" w:rsidP="00097E6C">
            <w:pPr>
              <w:spacing w:after="0"/>
              <w:jc w:val="center"/>
              <w:rPr>
                <w:rFonts w:cs="Arial"/>
              </w:rPr>
            </w:pPr>
            <w:r w:rsidRPr="00C6577B">
              <w:rPr>
                <w:rFonts w:cs="Arial"/>
              </w:rPr>
              <w:t>0.60%</w:t>
            </w:r>
          </w:p>
          <w:p w:rsidR="003D4FDA" w:rsidRPr="00C6577B" w:rsidRDefault="003D4FDA" w:rsidP="00097E6C">
            <w:pPr>
              <w:jc w:val="center"/>
              <w:rPr>
                <w:rFonts w:cs="Arial"/>
              </w:rPr>
            </w:pPr>
          </w:p>
        </w:tc>
        <w:tc>
          <w:tcPr>
            <w:tcW w:w="3965" w:type="dxa"/>
          </w:tcPr>
          <w:p w:rsidR="003D4FDA" w:rsidRPr="00C6577B" w:rsidRDefault="003D4FDA" w:rsidP="00097E6C">
            <w:pPr>
              <w:spacing w:after="0"/>
              <w:jc w:val="center"/>
              <w:rPr>
                <w:rFonts w:cs="Arial"/>
              </w:rPr>
            </w:pPr>
            <w:r w:rsidRPr="00C6577B">
              <w:rPr>
                <w:rFonts w:cs="Arial"/>
              </w:rPr>
              <w:t>0.60%</w:t>
            </w:r>
          </w:p>
          <w:p w:rsidR="003D4FDA" w:rsidRPr="00C6577B" w:rsidRDefault="003D4FDA" w:rsidP="00097E6C">
            <w:pPr>
              <w:spacing w:after="0"/>
              <w:jc w:val="center"/>
              <w:rPr>
                <w:rFonts w:cs="Arial"/>
              </w:rPr>
            </w:pP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Pr>
                <w:rFonts w:cs="Arial"/>
                <w:b/>
                <w:bCs/>
                <w:color w:val="000000"/>
                <w:lang w:eastAsia="en-GB"/>
              </w:rPr>
              <w:t>Trustee</w:t>
            </w:r>
            <w:r w:rsidRPr="0009387C">
              <w:rPr>
                <w:rFonts w:cs="Arial"/>
                <w:b/>
                <w:bCs/>
                <w:color w:val="000000"/>
                <w:lang w:eastAsia="en-GB"/>
              </w:rPr>
              <w:t xml:space="preserve"> / Depositary fee</w:t>
            </w:r>
          </w:p>
        </w:tc>
        <w:tc>
          <w:tcPr>
            <w:tcW w:w="4140" w:type="dxa"/>
          </w:tcPr>
          <w:p w:rsidR="003D4FDA" w:rsidRPr="00C6577B" w:rsidRDefault="003D4FDA" w:rsidP="00097E6C">
            <w:pPr>
              <w:spacing w:after="0"/>
              <w:jc w:val="center"/>
              <w:rPr>
                <w:rFonts w:cs="Arial"/>
              </w:rPr>
            </w:pPr>
            <w:r w:rsidRPr="00C6577B">
              <w:rPr>
                <w:rFonts w:cs="Arial"/>
              </w:rPr>
              <w:t>Periodic fee of 0.0105% per annum</w:t>
            </w:r>
          </w:p>
          <w:p w:rsidR="003D4FDA" w:rsidRPr="00C6577B" w:rsidRDefault="003D4FDA" w:rsidP="00097E6C">
            <w:pPr>
              <w:spacing w:after="0"/>
              <w:jc w:val="center"/>
              <w:rPr>
                <w:rFonts w:cs="Arial"/>
              </w:rPr>
            </w:pPr>
          </w:p>
          <w:p w:rsidR="003D4FDA" w:rsidRPr="00C6577B" w:rsidRDefault="003D4FDA" w:rsidP="00097E6C">
            <w:pPr>
              <w:spacing w:after="0"/>
              <w:jc w:val="center"/>
              <w:rPr>
                <w:rFonts w:cs="Arial"/>
              </w:rPr>
            </w:pPr>
          </w:p>
          <w:p w:rsidR="003D4FDA" w:rsidRPr="00C6577B" w:rsidRDefault="003D4FDA" w:rsidP="00097E6C">
            <w:pPr>
              <w:spacing w:after="0"/>
              <w:jc w:val="center"/>
              <w:rPr>
                <w:rFonts w:cs="Arial"/>
              </w:rPr>
            </w:pPr>
            <w:r w:rsidRPr="00C6577B">
              <w:rPr>
                <w:rFonts w:cs="Arial"/>
              </w:rPr>
              <w:t>Transaction Charges:  £5 to £550</w:t>
            </w:r>
          </w:p>
          <w:p w:rsidR="003D4FDA" w:rsidRPr="00C6577B" w:rsidRDefault="003D4FDA" w:rsidP="00097E6C">
            <w:pPr>
              <w:spacing w:after="0"/>
              <w:jc w:val="center"/>
              <w:rPr>
                <w:rFonts w:cs="Arial"/>
              </w:rPr>
            </w:pPr>
            <w:r w:rsidRPr="00C6577B">
              <w:rPr>
                <w:rFonts w:cs="Arial"/>
              </w:rPr>
              <w:t xml:space="preserve">Custody Charges: 0.005% to 3% per annum </w:t>
            </w:r>
          </w:p>
        </w:tc>
        <w:tc>
          <w:tcPr>
            <w:tcW w:w="3965" w:type="dxa"/>
          </w:tcPr>
          <w:p w:rsidR="003D4FDA" w:rsidRPr="00C6577B" w:rsidRDefault="003D4FDA" w:rsidP="00097E6C">
            <w:pPr>
              <w:spacing w:after="0"/>
              <w:jc w:val="center"/>
              <w:rPr>
                <w:rFonts w:cs="Arial"/>
              </w:rPr>
            </w:pPr>
            <w:r w:rsidRPr="00C6577B">
              <w:rPr>
                <w:rFonts w:cs="Arial"/>
              </w:rPr>
              <w:t>0.02% for the first £200m and 0.015% for the remaining balance per annum</w:t>
            </w:r>
          </w:p>
          <w:p w:rsidR="003D4FDA" w:rsidRPr="00C6577B" w:rsidRDefault="003D4FDA" w:rsidP="00097E6C">
            <w:pPr>
              <w:spacing w:after="0"/>
              <w:jc w:val="center"/>
              <w:rPr>
                <w:rFonts w:cs="Arial"/>
              </w:rPr>
            </w:pPr>
          </w:p>
          <w:p w:rsidR="003D4FDA" w:rsidRPr="00C6577B" w:rsidRDefault="003D4FDA" w:rsidP="00097E6C">
            <w:pPr>
              <w:spacing w:after="0"/>
              <w:jc w:val="center"/>
              <w:rPr>
                <w:rFonts w:cs="Arial"/>
              </w:rPr>
            </w:pPr>
            <w:r w:rsidRPr="00C6577B">
              <w:rPr>
                <w:rFonts w:cs="Arial"/>
              </w:rPr>
              <w:t>Transaction Charges:  £8 to £80</w:t>
            </w:r>
          </w:p>
          <w:p w:rsidR="003D4FDA" w:rsidRPr="00C6577B" w:rsidRDefault="003D4FDA" w:rsidP="00097E6C">
            <w:pPr>
              <w:spacing w:after="0"/>
              <w:jc w:val="center"/>
              <w:rPr>
                <w:rFonts w:cs="Arial"/>
              </w:rPr>
            </w:pPr>
            <w:r w:rsidRPr="00C6577B">
              <w:rPr>
                <w:rFonts w:cs="Arial"/>
              </w:rPr>
              <w:t>Custody Charges: 0.0022% to 0.5% per annum</w:t>
            </w:r>
          </w:p>
          <w:p w:rsidR="003D4FDA" w:rsidRPr="00C6577B" w:rsidRDefault="003D4FDA" w:rsidP="00097E6C">
            <w:pPr>
              <w:spacing w:after="0"/>
              <w:jc w:val="center"/>
              <w:rPr>
                <w:rFonts w:cs="Arial"/>
              </w:rPr>
            </w:pPr>
          </w:p>
        </w:tc>
      </w:tr>
      <w:tr w:rsidR="003D4FDA" w:rsidRPr="00E84A4B"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Annual administration fee</w:t>
            </w:r>
          </w:p>
        </w:tc>
        <w:tc>
          <w:tcPr>
            <w:tcW w:w="4140" w:type="dxa"/>
          </w:tcPr>
          <w:p w:rsidR="003D4FDA" w:rsidRPr="00C6577B" w:rsidRDefault="003D4FDA" w:rsidP="00097E6C">
            <w:pPr>
              <w:jc w:val="center"/>
              <w:rPr>
                <w:rFonts w:cs="Arial"/>
              </w:rPr>
            </w:pPr>
            <w:r w:rsidRPr="00C6577B">
              <w:rPr>
                <w:rFonts w:cs="Arial"/>
              </w:rPr>
              <w:t>Between 0.03% to 0.49% per annum</w:t>
            </w:r>
          </w:p>
        </w:tc>
        <w:tc>
          <w:tcPr>
            <w:tcW w:w="3965" w:type="dxa"/>
          </w:tcPr>
          <w:p w:rsidR="003D4FDA" w:rsidRPr="00C6577B" w:rsidRDefault="003D4FDA" w:rsidP="00097E6C">
            <w:pPr>
              <w:jc w:val="center"/>
              <w:rPr>
                <w:rFonts w:cs="Arial"/>
              </w:rPr>
            </w:pPr>
            <w:r w:rsidRPr="00C6577B">
              <w:rPr>
                <w:rFonts w:cs="Arial"/>
              </w:rPr>
              <w:t>0.045%</w:t>
            </w:r>
            <w:r w:rsidR="00075D95" w:rsidRPr="00075D95">
              <w:rPr>
                <w:rFonts w:cs="Arial"/>
                <w:vertAlign w:val="superscript"/>
              </w:rPr>
              <w:t>+</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single investment amount</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CF35C2" w:rsidRDefault="003D4FDA" w:rsidP="003D4FDA">
            <w:pPr>
              <w:jc w:val="center"/>
              <w:rPr>
                <w:rFonts w:cs="Arial"/>
              </w:rPr>
            </w:pPr>
            <w:r w:rsidRPr="00CF35C2">
              <w:rPr>
                <w:rFonts w:cs="Arial"/>
              </w:rPr>
              <w:t>£</w:t>
            </w:r>
            <w:r>
              <w:rPr>
                <w:rFonts w:cs="Arial"/>
              </w:rPr>
              <w:t>250,000,000</w:t>
            </w:r>
          </w:p>
        </w:tc>
        <w:tc>
          <w:tcPr>
            <w:tcW w:w="3965" w:type="dxa"/>
          </w:tcPr>
          <w:p w:rsidR="003D4FDA" w:rsidRPr="00CF35C2" w:rsidRDefault="003D4FDA" w:rsidP="00097E6C">
            <w:pPr>
              <w:jc w:val="center"/>
              <w:rPr>
                <w:rFonts w:cs="Arial"/>
              </w:rPr>
            </w:pPr>
            <w:r w:rsidRPr="00CF35C2">
              <w:rPr>
                <w:rFonts w:cs="Arial"/>
              </w:rPr>
              <w:t>£</w:t>
            </w:r>
            <w:r>
              <w:rPr>
                <w:rFonts w:cs="Arial"/>
              </w:rPr>
              <w:t>250,000,000</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additional investment amount</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3D4FDA" w:rsidRDefault="003D4FDA" w:rsidP="00097E6C">
            <w:pPr>
              <w:jc w:val="center"/>
              <w:rPr>
                <w:rFonts w:cs="Arial"/>
                <w:b/>
              </w:rPr>
            </w:pPr>
            <w:r w:rsidRPr="00CF35C2">
              <w:rPr>
                <w:rFonts w:cs="Arial"/>
              </w:rPr>
              <w:t>£1,000</w:t>
            </w:r>
            <w:r>
              <w:rPr>
                <w:rFonts w:cs="Arial"/>
              </w:rPr>
              <w:t>,000</w:t>
            </w:r>
          </w:p>
        </w:tc>
        <w:tc>
          <w:tcPr>
            <w:tcW w:w="3965" w:type="dxa"/>
          </w:tcPr>
          <w:p w:rsidR="003D4FDA" w:rsidRPr="00CF35C2" w:rsidRDefault="003D4FDA" w:rsidP="00097E6C">
            <w:pPr>
              <w:jc w:val="center"/>
              <w:rPr>
                <w:rFonts w:cs="Arial"/>
                <w:b/>
              </w:rPr>
            </w:pPr>
            <w:r w:rsidRPr="00CF35C2">
              <w:rPr>
                <w:rFonts w:cs="Arial"/>
              </w:rPr>
              <w:t>£1,000</w:t>
            </w:r>
            <w:r>
              <w:rPr>
                <w:rFonts w:cs="Arial"/>
              </w:rPr>
              <w:t>,000</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lastRenderedPageBreak/>
              <w:t>Minimum withdrawal amount</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09387C" w:rsidRDefault="003D4FDA" w:rsidP="00097E6C">
            <w:pPr>
              <w:jc w:val="center"/>
              <w:rPr>
                <w:rFonts w:cs="Arial"/>
                <w:b/>
              </w:rPr>
            </w:pPr>
            <w:r>
              <w:rPr>
                <w:rFonts w:cs="Arial"/>
              </w:rPr>
              <w:t>£500</w:t>
            </w:r>
            <w:r w:rsidRPr="00CF35C2">
              <w:rPr>
                <w:rFonts w:cs="Arial"/>
              </w:rPr>
              <w:t>,000</w:t>
            </w:r>
          </w:p>
        </w:tc>
        <w:tc>
          <w:tcPr>
            <w:tcW w:w="3965" w:type="dxa"/>
          </w:tcPr>
          <w:p w:rsidR="003D4FDA" w:rsidRPr="00CF35C2" w:rsidRDefault="003D4FDA" w:rsidP="00097E6C">
            <w:pPr>
              <w:jc w:val="center"/>
              <w:rPr>
                <w:rFonts w:cs="Arial"/>
                <w:b/>
              </w:rPr>
            </w:pPr>
            <w:r>
              <w:rPr>
                <w:rFonts w:cs="Arial"/>
              </w:rPr>
              <w:t>£500</w:t>
            </w:r>
            <w:r w:rsidRPr="00CF35C2">
              <w:rPr>
                <w:rFonts w:cs="Arial"/>
              </w:rPr>
              <w:t>,000</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balance</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CF35C2" w:rsidRDefault="003D4FDA" w:rsidP="00097E6C">
            <w:pPr>
              <w:jc w:val="center"/>
              <w:rPr>
                <w:rFonts w:cs="Arial"/>
              </w:rPr>
            </w:pPr>
            <w:r w:rsidRPr="00CF35C2">
              <w:rPr>
                <w:rFonts w:cs="Arial"/>
              </w:rPr>
              <w:t>£1</w:t>
            </w:r>
            <w:r>
              <w:rPr>
                <w:rFonts w:cs="Arial"/>
              </w:rPr>
              <w:t>25,000</w:t>
            </w:r>
            <w:r w:rsidRPr="00CF35C2">
              <w:rPr>
                <w:rFonts w:cs="Arial"/>
              </w:rPr>
              <w:t>,000</w:t>
            </w:r>
          </w:p>
        </w:tc>
        <w:tc>
          <w:tcPr>
            <w:tcW w:w="3965" w:type="dxa"/>
          </w:tcPr>
          <w:p w:rsidR="003D4FDA" w:rsidRPr="00CF35C2" w:rsidRDefault="003D4FDA" w:rsidP="00097E6C">
            <w:pPr>
              <w:jc w:val="center"/>
              <w:rPr>
                <w:rFonts w:cs="Arial"/>
              </w:rPr>
            </w:pPr>
            <w:r w:rsidRPr="00CF35C2">
              <w:rPr>
                <w:rFonts w:cs="Arial"/>
              </w:rPr>
              <w:t>£1</w:t>
            </w:r>
            <w:r>
              <w:rPr>
                <w:rFonts w:cs="Arial"/>
              </w:rPr>
              <w:t>25,000</w:t>
            </w:r>
            <w:r w:rsidRPr="00CF35C2">
              <w:rPr>
                <w:rFonts w:cs="Arial"/>
              </w:rPr>
              <w:t>,000</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Switch charge</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09387C" w:rsidRDefault="003D4FDA" w:rsidP="00097E6C">
            <w:pPr>
              <w:jc w:val="center"/>
              <w:rPr>
                <w:rFonts w:cs="Arial"/>
              </w:rPr>
            </w:pPr>
            <w:r w:rsidRPr="0009387C">
              <w:rPr>
                <w:rFonts w:cs="Arial"/>
              </w:rPr>
              <w:t>0%</w:t>
            </w:r>
          </w:p>
        </w:tc>
        <w:tc>
          <w:tcPr>
            <w:tcW w:w="3965" w:type="dxa"/>
          </w:tcPr>
          <w:p w:rsidR="003D4FDA" w:rsidRPr="0009387C" w:rsidRDefault="00CD79DC" w:rsidP="00CD79DC">
            <w:pPr>
              <w:jc w:val="center"/>
              <w:rPr>
                <w:rFonts w:cs="Arial"/>
              </w:rPr>
            </w:pPr>
            <w:r>
              <w:rPr>
                <w:rFonts w:cs="Arial"/>
              </w:rPr>
              <w:t>0%</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regular payment</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3D4FDA" w:rsidRDefault="003D4FDA" w:rsidP="00097E6C">
            <w:pPr>
              <w:jc w:val="center"/>
              <w:rPr>
                <w:rFonts w:cs="Arial"/>
              </w:rPr>
            </w:pPr>
            <w:r w:rsidRPr="003D4FDA">
              <w:rPr>
                <w:rFonts w:cs="Arial"/>
              </w:rPr>
              <w:t>N/A</w:t>
            </w:r>
          </w:p>
        </w:tc>
        <w:tc>
          <w:tcPr>
            <w:tcW w:w="3965" w:type="dxa"/>
          </w:tcPr>
          <w:p w:rsidR="003D4FDA" w:rsidRPr="003D4FDA" w:rsidRDefault="003D4FDA" w:rsidP="00097E6C">
            <w:pPr>
              <w:jc w:val="center"/>
              <w:rPr>
                <w:rFonts w:cs="Arial"/>
              </w:rPr>
            </w:pPr>
            <w:r w:rsidRPr="003D4FDA">
              <w:rPr>
                <w:rFonts w:cs="Arial"/>
              </w:rPr>
              <w:t>N/A</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Minimum additional regular payment</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6C762D" w:rsidRDefault="003D4FDA" w:rsidP="00097E6C">
            <w:pPr>
              <w:jc w:val="center"/>
              <w:rPr>
                <w:rFonts w:cs="Arial"/>
              </w:rPr>
            </w:pPr>
            <w:r w:rsidRPr="006C762D">
              <w:rPr>
                <w:rFonts w:cs="Arial"/>
              </w:rPr>
              <w:t>N/A</w:t>
            </w:r>
          </w:p>
        </w:tc>
        <w:tc>
          <w:tcPr>
            <w:tcW w:w="3965" w:type="dxa"/>
          </w:tcPr>
          <w:p w:rsidR="003D4FDA" w:rsidRPr="0009387C" w:rsidRDefault="003D4FDA" w:rsidP="00097E6C">
            <w:pPr>
              <w:jc w:val="center"/>
              <w:rPr>
                <w:rFonts w:cs="Arial"/>
              </w:rPr>
            </w:pPr>
            <w:r>
              <w:rPr>
                <w:rFonts w:cs="Arial"/>
              </w:rPr>
              <w:t>N/A</w:t>
            </w:r>
          </w:p>
        </w:tc>
      </w:tr>
      <w:tr w:rsidR="003D4FDA" w:rsidRPr="0009387C" w:rsidTr="00097E6C">
        <w:trPr>
          <w:cantSplit/>
        </w:trPr>
        <w:tc>
          <w:tcPr>
            <w:tcW w:w="2250" w:type="dxa"/>
          </w:tcPr>
          <w:p w:rsidR="003D4FDA" w:rsidRPr="0009387C" w:rsidRDefault="003D4FDA" w:rsidP="00097E6C">
            <w:pPr>
              <w:autoSpaceDE w:val="0"/>
              <w:autoSpaceDN w:val="0"/>
              <w:adjustRightInd w:val="0"/>
              <w:spacing w:after="0"/>
              <w:jc w:val="center"/>
              <w:rPr>
                <w:rFonts w:cs="Arial"/>
                <w:b/>
                <w:bCs/>
                <w:color w:val="000000"/>
                <w:lang w:eastAsia="en-GB"/>
              </w:rPr>
            </w:pPr>
            <w:r w:rsidRPr="0009387C">
              <w:rPr>
                <w:rFonts w:cs="Arial"/>
                <w:b/>
                <w:bCs/>
                <w:color w:val="000000"/>
                <w:lang w:eastAsia="en-GB"/>
              </w:rPr>
              <w:t>Exit charges*</w:t>
            </w:r>
          </w:p>
          <w:p w:rsidR="003D4FDA" w:rsidRPr="0009387C" w:rsidRDefault="003D4FDA" w:rsidP="00097E6C">
            <w:pPr>
              <w:autoSpaceDE w:val="0"/>
              <w:autoSpaceDN w:val="0"/>
              <w:adjustRightInd w:val="0"/>
              <w:spacing w:after="0"/>
              <w:jc w:val="center"/>
              <w:rPr>
                <w:rFonts w:cs="Arial"/>
                <w:b/>
                <w:bCs/>
                <w:color w:val="000000"/>
                <w:lang w:eastAsia="en-GB"/>
              </w:rPr>
            </w:pPr>
          </w:p>
        </w:tc>
        <w:tc>
          <w:tcPr>
            <w:tcW w:w="4140" w:type="dxa"/>
          </w:tcPr>
          <w:p w:rsidR="003D4FDA" w:rsidRPr="0009387C" w:rsidRDefault="003D4FDA" w:rsidP="00097E6C">
            <w:pPr>
              <w:jc w:val="center"/>
              <w:rPr>
                <w:rFonts w:cs="Arial"/>
              </w:rPr>
            </w:pPr>
            <w:r>
              <w:rPr>
                <w:rFonts w:cs="Arial"/>
              </w:rPr>
              <w:t>NIL</w:t>
            </w:r>
          </w:p>
        </w:tc>
        <w:tc>
          <w:tcPr>
            <w:tcW w:w="3965" w:type="dxa"/>
          </w:tcPr>
          <w:p w:rsidR="003D4FDA" w:rsidRPr="0009387C" w:rsidRDefault="009106E9" w:rsidP="002A1F14">
            <w:pPr>
              <w:jc w:val="center"/>
              <w:rPr>
                <w:rFonts w:cs="Arial"/>
              </w:rPr>
            </w:pPr>
            <w:r>
              <w:rPr>
                <w:rFonts w:cs="Arial"/>
              </w:rPr>
              <w:t>Up to 3 % if Shares redeemed within 90 days of purchase</w:t>
            </w:r>
          </w:p>
        </w:tc>
      </w:tr>
      <w:tr w:rsidR="00170261" w:rsidRPr="0009387C" w:rsidTr="00097E6C">
        <w:trPr>
          <w:cantSplit/>
        </w:trPr>
        <w:tc>
          <w:tcPr>
            <w:tcW w:w="2250" w:type="dxa"/>
          </w:tcPr>
          <w:p w:rsidR="00170261" w:rsidRPr="0009387C" w:rsidRDefault="00170261" w:rsidP="00097E6C">
            <w:pPr>
              <w:autoSpaceDE w:val="0"/>
              <w:autoSpaceDN w:val="0"/>
              <w:adjustRightInd w:val="0"/>
              <w:spacing w:after="0"/>
              <w:jc w:val="center"/>
              <w:rPr>
                <w:rFonts w:cs="Arial"/>
                <w:b/>
                <w:bCs/>
                <w:color w:val="000000"/>
                <w:lang w:eastAsia="en-GB"/>
              </w:rPr>
            </w:pPr>
            <w:r>
              <w:rPr>
                <w:rFonts w:cs="Arial"/>
                <w:b/>
                <w:bCs/>
                <w:color w:val="000000"/>
                <w:lang w:eastAsia="en-GB"/>
              </w:rPr>
              <w:t>Pricing</w:t>
            </w:r>
          </w:p>
        </w:tc>
        <w:tc>
          <w:tcPr>
            <w:tcW w:w="4140" w:type="dxa"/>
          </w:tcPr>
          <w:p w:rsidR="00170261" w:rsidRDefault="002201C0" w:rsidP="00097E6C">
            <w:pPr>
              <w:jc w:val="center"/>
              <w:rPr>
                <w:rFonts w:cs="Arial"/>
              </w:rPr>
            </w:pPr>
            <w:r>
              <w:rPr>
                <w:rFonts w:cs="Arial"/>
              </w:rPr>
              <w:t>Forward pricing basis</w:t>
            </w:r>
          </w:p>
        </w:tc>
        <w:tc>
          <w:tcPr>
            <w:tcW w:w="3965" w:type="dxa"/>
          </w:tcPr>
          <w:p w:rsidR="00170261" w:rsidRDefault="002201C0" w:rsidP="002A1F14">
            <w:pPr>
              <w:jc w:val="center"/>
              <w:rPr>
                <w:rFonts w:cs="Arial"/>
              </w:rPr>
            </w:pPr>
            <w:r>
              <w:rPr>
                <w:rFonts w:cs="Arial"/>
              </w:rPr>
              <w:t>Forward pricing basis</w:t>
            </w:r>
          </w:p>
        </w:tc>
      </w:tr>
      <w:tr w:rsidR="00170261" w:rsidRPr="0009387C" w:rsidTr="00097E6C">
        <w:trPr>
          <w:cantSplit/>
        </w:trPr>
        <w:tc>
          <w:tcPr>
            <w:tcW w:w="2250" w:type="dxa"/>
          </w:tcPr>
          <w:p w:rsidR="00170261" w:rsidRDefault="00170261" w:rsidP="00097E6C">
            <w:pPr>
              <w:autoSpaceDE w:val="0"/>
              <w:autoSpaceDN w:val="0"/>
              <w:adjustRightInd w:val="0"/>
              <w:spacing w:after="0"/>
              <w:jc w:val="center"/>
              <w:rPr>
                <w:rFonts w:cs="Arial"/>
                <w:b/>
                <w:bCs/>
                <w:color w:val="000000"/>
                <w:lang w:eastAsia="en-GB"/>
              </w:rPr>
            </w:pPr>
            <w:r>
              <w:rPr>
                <w:rFonts w:cs="Arial"/>
                <w:b/>
                <w:bCs/>
                <w:color w:val="000000"/>
                <w:lang w:eastAsia="en-GB"/>
              </w:rPr>
              <w:t>Accounting date</w:t>
            </w:r>
          </w:p>
        </w:tc>
        <w:tc>
          <w:tcPr>
            <w:tcW w:w="4140" w:type="dxa"/>
          </w:tcPr>
          <w:p w:rsidR="00170261" w:rsidRPr="00C6577B" w:rsidRDefault="00DF6554" w:rsidP="00097E6C">
            <w:pPr>
              <w:jc w:val="center"/>
              <w:rPr>
                <w:rFonts w:cs="Arial"/>
              </w:rPr>
            </w:pPr>
            <w:r w:rsidRPr="00C6577B">
              <w:rPr>
                <w:rFonts w:cs="Arial"/>
              </w:rPr>
              <w:t>31 March</w:t>
            </w:r>
          </w:p>
        </w:tc>
        <w:tc>
          <w:tcPr>
            <w:tcW w:w="3965" w:type="dxa"/>
          </w:tcPr>
          <w:p w:rsidR="00170261" w:rsidRPr="00C6577B" w:rsidRDefault="00DF6554" w:rsidP="002A1F14">
            <w:pPr>
              <w:jc w:val="center"/>
              <w:rPr>
                <w:rFonts w:cs="Arial"/>
              </w:rPr>
            </w:pPr>
            <w:r w:rsidRPr="00C6577B">
              <w:rPr>
                <w:rFonts w:cs="Arial"/>
              </w:rPr>
              <w:t>31 May (annual)</w:t>
            </w:r>
          </w:p>
          <w:p w:rsidR="00DF6554" w:rsidRPr="00C6577B" w:rsidRDefault="00DF6554" w:rsidP="002A1F14">
            <w:pPr>
              <w:jc w:val="center"/>
              <w:rPr>
                <w:rFonts w:cs="Arial"/>
              </w:rPr>
            </w:pPr>
            <w:r w:rsidRPr="00C6577B">
              <w:rPr>
                <w:rFonts w:cs="Arial"/>
              </w:rPr>
              <w:t>30 November (semi-annual)</w:t>
            </w:r>
          </w:p>
          <w:p w:rsidR="00DF6554" w:rsidRPr="00C6577B" w:rsidRDefault="00DF6554" w:rsidP="002A1F14">
            <w:pPr>
              <w:jc w:val="center"/>
              <w:rPr>
                <w:rFonts w:cs="Arial"/>
              </w:rPr>
            </w:pPr>
            <w:r w:rsidRPr="00C6577B">
              <w:rPr>
                <w:rFonts w:cs="Arial"/>
              </w:rPr>
              <w:t>Last day of February and 31 August (interim)</w:t>
            </w:r>
          </w:p>
        </w:tc>
      </w:tr>
      <w:tr w:rsidR="00170261" w:rsidRPr="0009387C" w:rsidTr="00097E6C">
        <w:trPr>
          <w:cantSplit/>
        </w:trPr>
        <w:tc>
          <w:tcPr>
            <w:tcW w:w="2250" w:type="dxa"/>
          </w:tcPr>
          <w:p w:rsidR="00170261" w:rsidRDefault="00170261" w:rsidP="00097E6C">
            <w:pPr>
              <w:autoSpaceDE w:val="0"/>
              <w:autoSpaceDN w:val="0"/>
              <w:adjustRightInd w:val="0"/>
              <w:spacing w:after="0"/>
              <w:jc w:val="center"/>
              <w:rPr>
                <w:rFonts w:cs="Arial"/>
                <w:b/>
                <w:bCs/>
                <w:color w:val="000000"/>
                <w:lang w:eastAsia="en-GB"/>
              </w:rPr>
            </w:pPr>
            <w:r w:rsidRPr="00170261">
              <w:rPr>
                <w:rFonts w:cs="Arial"/>
                <w:b/>
                <w:bCs/>
                <w:color w:val="000000"/>
                <w:lang w:eastAsia="en-GB"/>
              </w:rPr>
              <w:t>Income allocation/accumulation date</w:t>
            </w:r>
          </w:p>
        </w:tc>
        <w:tc>
          <w:tcPr>
            <w:tcW w:w="4140" w:type="dxa"/>
          </w:tcPr>
          <w:p w:rsidR="00170261" w:rsidRPr="00C6577B" w:rsidRDefault="00756831" w:rsidP="00097E6C">
            <w:pPr>
              <w:jc w:val="center"/>
              <w:rPr>
                <w:rFonts w:cs="Arial"/>
              </w:rPr>
            </w:pPr>
            <w:r w:rsidRPr="00C6577B">
              <w:rPr>
                <w:rFonts w:cs="Arial"/>
              </w:rPr>
              <w:t>31 May and 30 November</w:t>
            </w:r>
          </w:p>
        </w:tc>
        <w:tc>
          <w:tcPr>
            <w:tcW w:w="3965" w:type="dxa"/>
          </w:tcPr>
          <w:p w:rsidR="00485A2B" w:rsidRPr="00C6577B" w:rsidRDefault="00485A2B" w:rsidP="00485A2B">
            <w:pPr>
              <w:jc w:val="center"/>
              <w:rPr>
                <w:rFonts w:cs="Arial"/>
              </w:rPr>
            </w:pPr>
            <w:r w:rsidRPr="00C6577B">
              <w:rPr>
                <w:rFonts w:cs="Arial"/>
              </w:rPr>
              <w:t>31</w:t>
            </w:r>
          </w:p>
          <w:p w:rsidR="00170261" w:rsidRPr="00C6577B" w:rsidRDefault="00485A2B" w:rsidP="00485A2B">
            <w:pPr>
              <w:jc w:val="center"/>
              <w:rPr>
                <w:rFonts w:cs="Arial"/>
              </w:rPr>
            </w:pPr>
            <w:r w:rsidRPr="00C6577B">
              <w:rPr>
                <w:rFonts w:cs="Arial"/>
              </w:rPr>
              <w:t>January, 30 April, 31 July and 31 October</w:t>
            </w:r>
          </w:p>
        </w:tc>
      </w:tr>
    </w:tbl>
    <w:p w:rsidR="006C762D" w:rsidRDefault="006C762D" w:rsidP="0009387C">
      <w:pPr>
        <w:rPr>
          <w:rFonts w:cs="Arial"/>
          <w:b/>
        </w:rPr>
      </w:pPr>
    </w:p>
    <w:p w:rsidR="00CF5208" w:rsidRPr="00C6577B" w:rsidRDefault="00075D95" w:rsidP="00CF5208">
      <w:pPr>
        <w:rPr>
          <w:rFonts w:cs="Arial"/>
        </w:rPr>
      </w:pPr>
      <w:r w:rsidRPr="00B8437D">
        <w:rPr>
          <w:rFonts w:cs="Arial"/>
          <w:vertAlign w:val="superscript"/>
        </w:rPr>
        <w:t>+</w:t>
      </w:r>
      <w:r>
        <w:rPr>
          <w:rFonts w:cs="Arial"/>
          <w:vertAlign w:val="superscript"/>
        </w:rPr>
        <w:t xml:space="preserve"> </w:t>
      </w:r>
      <w:r w:rsidR="00CF5208" w:rsidRPr="00C6577B">
        <w:rPr>
          <w:rFonts w:cs="Arial"/>
        </w:rPr>
        <w:t xml:space="preserve">The annual administration fee in relation to the Continuing Fund is a “General Administration Charge” and reimburses the ACD for </w:t>
      </w:r>
      <w:r w:rsidR="00CF5208">
        <w:rPr>
          <w:rFonts w:cs="Arial"/>
        </w:rPr>
        <w:t>a range</w:t>
      </w:r>
      <w:r w:rsidR="00CF5208" w:rsidRPr="00C6577B">
        <w:rPr>
          <w:rFonts w:cs="Arial"/>
        </w:rPr>
        <w:t xml:space="preserve"> of different expenses incurred in operating</w:t>
      </w:r>
      <w:r w:rsidR="00CF5208" w:rsidRPr="00CF5208">
        <w:rPr>
          <w:rFonts w:cs="Arial"/>
        </w:rPr>
        <w:t xml:space="preserve"> the Continuing Fund</w:t>
      </w:r>
      <w:r w:rsidR="00FE447F">
        <w:rPr>
          <w:rFonts w:cs="Arial"/>
        </w:rPr>
        <w:t xml:space="preserve"> as detailed in the Fund’s Prospectus</w:t>
      </w:r>
      <w:r w:rsidR="00CF5208">
        <w:rPr>
          <w:rFonts w:cs="Arial"/>
        </w:rPr>
        <w:t>. T</w:t>
      </w:r>
      <w:r w:rsidR="00CF5208" w:rsidRPr="00C6577B">
        <w:rPr>
          <w:rFonts w:cs="Arial"/>
        </w:rPr>
        <w:t xml:space="preserve">he annual administration fee in relation to the Discontinuing Fund </w:t>
      </w:r>
      <w:r w:rsidR="00CF5208">
        <w:rPr>
          <w:rFonts w:cs="Arial"/>
        </w:rPr>
        <w:t>is narrower and</w:t>
      </w:r>
      <w:r w:rsidR="00CF5208" w:rsidRPr="00C6577B">
        <w:rPr>
          <w:rFonts w:cs="Arial"/>
        </w:rPr>
        <w:t xml:space="preserve"> only covers administering the Fund, including fund accounting, tax and pricing functions.</w:t>
      </w:r>
    </w:p>
    <w:p w:rsidR="006C762D" w:rsidRDefault="006C762D" w:rsidP="0009387C">
      <w:pPr>
        <w:rPr>
          <w:rFonts w:cs="Arial"/>
          <w:b/>
        </w:rPr>
      </w:pPr>
    </w:p>
    <w:p w:rsidR="009E4D35" w:rsidRPr="0009387C" w:rsidRDefault="009E4D35" w:rsidP="0009387C">
      <w:pPr>
        <w:spacing w:after="0"/>
        <w:rPr>
          <w:rFonts w:cs="Arial"/>
          <w:sz w:val="16"/>
          <w:szCs w:val="16"/>
        </w:rPr>
      </w:pPr>
      <w:r w:rsidRPr="0009387C">
        <w:rPr>
          <w:rFonts w:cs="Arial"/>
          <w:sz w:val="16"/>
          <w:szCs w:val="16"/>
        </w:rPr>
        <w:t xml:space="preserve">* Measured over the year to </w:t>
      </w:r>
      <w:r w:rsidR="0021307B">
        <w:rPr>
          <w:rFonts w:cs="Arial"/>
        </w:rPr>
        <w:t>31 December 2013</w:t>
      </w:r>
      <w:r w:rsidRPr="0009387C">
        <w:rPr>
          <w:rFonts w:cs="Arial"/>
          <w:sz w:val="16"/>
          <w:szCs w:val="16"/>
        </w:rPr>
        <w:t>.</w:t>
      </w:r>
    </w:p>
    <w:p w:rsidR="009E4D35" w:rsidRDefault="009E4D35" w:rsidP="0009387C">
      <w:pPr>
        <w:rPr>
          <w:rFonts w:cs="Arial"/>
          <w:sz w:val="16"/>
          <w:szCs w:val="16"/>
        </w:rPr>
      </w:pPr>
      <w:r w:rsidRPr="0009387C">
        <w:rPr>
          <w:rFonts w:cs="Arial"/>
          <w:sz w:val="16"/>
          <w:szCs w:val="16"/>
        </w:rPr>
        <w:t>**Manager</w:t>
      </w:r>
      <w:r w:rsidR="00156B41">
        <w:rPr>
          <w:rFonts w:cs="Arial"/>
          <w:sz w:val="16"/>
          <w:szCs w:val="16"/>
        </w:rPr>
        <w:t>/ACD</w:t>
      </w:r>
      <w:r w:rsidRPr="0009387C">
        <w:rPr>
          <w:rFonts w:cs="Arial"/>
          <w:sz w:val="16"/>
          <w:szCs w:val="16"/>
        </w:rPr>
        <w:t xml:space="preserve"> estimate.</w:t>
      </w:r>
    </w:p>
    <w:p w:rsidR="009E4D35" w:rsidRPr="0009387C" w:rsidRDefault="009E4D35" w:rsidP="0009387C">
      <w:pPr>
        <w:spacing w:after="0"/>
        <w:rPr>
          <w:rFonts w:cs="Arial"/>
          <w:sz w:val="16"/>
          <w:szCs w:val="16"/>
        </w:rPr>
      </w:pPr>
    </w:p>
    <w:p w:rsidR="009E4D35" w:rsidRPr="0009387C" w:rsidRDefault="009E4D35" w:rsidP="0009387C">
      <w:pPr>
        <w:rPr>
          <w:rFonts w:cs="Arial"/>
          <w:b/>
        </w:rPr>
      </w:pPr>
      <w:r w:rsidRPr="0009387C">
        <w:rPr>
          <w:rFonts w:cs="Arial"/>
          <w:b/>
        </w:rPr>
        <w:t>The Structure</w:t>
      </w:r>
    </w:p>
    <w:p w:rsidR="009E4D35" w:rsidRPr="0009387C" w:rsidRDefault="009E4D35" w:rsidP="0009387C">
      <w:pPr>
        <w:rPr>
          <w:rFonts w:cs="Arial"/>
        </w:rPr>
      </w:pPr>
      <w:r w:rsidRPr="0009387C">
        <w:rPr>
          <w:rFonts w:cs="Arial"/>
        </w:rPr>
        <w:t xml:space="preserve">The Discontinuing Fund is an authorised unit trust and is governed by a trust deed made between a manager and a trustee.  The money invested by unitholders is pooled together and invested in a range of permitted investments.  These investments are the property of the unit trust and are held on trust by the trustee for the benefit of unitholders.  The nature of each unitholder’s right to participate in the property of the unit trust and any income which arises from it is that of a beneficial interest under a trust. </w:t>
      </w:r>
    </w:p>
    <w:p w:rsidR="009E4D35" w:rsidRPr="0009387C" w:rsidRDefault="009E4D35" w:rsidP="0009387C">
      <w:pPr>
        <w:rPr>
          <w:rFonts w:cs="Arial"/>
        </w:rPr>
      </w:pPr>
      <w:r w:rsidRPr="0009387C">
        <w:rPr>
          <w:rFonts w:cs="Arial"/>
        </w:rPr>
        <w:t>Authorised unit trusts are governed by the terms of the Sourcebook.</w:t>
      </w:r>
    </w:p>
    <w:p w:rsidR="009E4D35" w:rsidRPr="0009387C" w:rsidRDefault="009E4D35" w:rsidP="0009387C">
      <w:pPr>
        <w:rPr>
          <w:rFonts w:cs="Arial"/>
        </w:rPr>
      </w:pPr>
      <w:r w:rsidRPr="0009387C">
        <w:rPr>
          <w:rFonts w:cs="Arial"/>
        </w:rPr>
        <w:t xml:space="preserve">The Discontinuing Fund is authorised by the FCA and constituted by a trust deed made between Old Mutual Investment Management Limited (as manager) and National Westminster Bank Plc (as trustee).  The Trust is a </w:t>
      </w:r>
      <w:r w:rsidR="00D53074">
        <w:rPr>
          <w:rFonts w:cs="Arial"/>
        </w:rPr>
        <w:t>non-</w:t>
      </w:r>
      <w:r w:rsidRPr="0009387C">
        <w:rPr>
          <w:rFonts w:cs="Arial"/>
        </w:rPr>
        <w:t xml:space="preserve">UCITS </w:t>
      </w:r>
      <w:r w:rsidR="00D53074">
        <w:rPr>
          <w:rFonts w:cs="Arial"/>
        </w:rPr>
        <w:t xml:space="preserve">retail </w:t>
      </w:r>
      <w:r w:rsidRPr="0009387C">
        <w:rPr>
          <w:rFonts w:cs="Arial"/>
        </w:rPr>
        <w:t>scheme which complies with the Sourcebook, which means that there are certain investment regulations which it must follow.</w:t>
      </w:r>
    </w:p>
    <w:p w:rsidR="009E4D35" w:rsidRPr="0009387C" w:rsidRDefault="009E4D35" w:rsidP="0009387C">
      <w:pPr>
        <w:rPr>
          <w:rFonts w:cs="Arial"/>
        </w:rPr>
      </w:pPr>
      <w:r w:rsidRPr="0009387C">
        <w:rPr>
          <w:rFonts w:cs="Arial"/>
        </w:rPr>
        <w:t>The Continuing Fund is incorporated as a</w:t>
      </w:r>
      <w:r w:rsidR="00531C23">
        <w:rPr>
          <w:rFonts w:cs="Arial"/>
        </w:rPr>
        <w:t xml:space="preserve"> stand alone</w:t>
      </w:r>
      <w:r w:rsidRPr="0009387C">
        <w:rPr>
          <w:rFonts w:cs="Arial"/>
        </w:rPr>
        <w:t xml:space="preserve"> </w:t>
      </w:r>
      <w:r w:rsidR="00531C23">
        <w:rPr>
          <w:rFonts w:cs="Arial"/>
        </w:rPr>
        <w:t xml:space="preserve">open-ended </w:t>
      </w:r>
      <w:r w:rsidRPr="0009387C">
        <w:rPr>
          <w:rFonts w:cs="Arial"/>
        </w:rPr>
        <w:t xml:space="preserve">investment company with variable capital under the Open-Ended Investment Companies Regulations 2001. These regulations establish </w:t>
      </w:r>
      <w:r w:rsidRPr="0009387C">
        <w:rPr>
          <w:rFonts w:cs="Arial"/>
        </w:rPr>
        <w:lastRenderedPageBreak/>
        <w:t>a separate corporate regime for the operation of open-ended investment companies.  An ICVC is structured as a company and is governed by an instrument of incorporation, which is similar to the memorandum and articles of association of a Companies Act company.  This means that an ICVC has many of the usual characteristics of a company - for example, a separate corporate identity, directors and shareholders.  Shareholders in the ICVC do not themselves own the property of the ICVC, rather they own shares in the ICVC, which gives them a number of legal rights.</w:t>
      </w:r>
    </w:p>
    <w:p w:rsidR="009E4D35" w:rsidRPr="0009387C" w:rsidRDefault="009E4D35" w:rsidP="0009387C">
      <w:pPr>
        <w:rPr>
          <w:rFonts w:cs="Arial"/>
        </w:rPr>
      </w:pPr>
      <w:r w:rsidRPr="0009387C">
        <w:rPr>
          <w:rFonts w:cs="Arial"/>
        </w:rPr>
        <w:t>An ICVC is established under the Open-Ended Investment Companies Regulations 2001 and is also authorised by the FCA under the terms of the Sourcebook.</w:t>
      </w:r>
    </w:p>
    <w:p w:rsidR="00D83CCE" w:rsidRDefault="009E4D35" w:rsidP="0009387C">
      <w:pPr>
        <w:rPr>
          <w:rFonts w:cs="Arial"/>
        </w:rPr>
      </w:pPr>
      <w:r w:rsidRPr="0009387C">
        <w:rPr>
          <w:rFonts w:cs="Arial"/>
        </w:rPr>
        <w:t xml:space="preserve">The Continuing Fund has been authorised by the FCA as a </w:t>
      </w:r>
      <w:r w:rsidR="00531C23">
        <w:rPr>
          <w:rFonts w:cs="Arial"/>
        </w:rPr>
        <w:t>non-</w:t>
      </w:r>
      <w:r w:rsidRPr="0009387C">
        <w:rPr>
          <w:rFonts w:cs="Arial"/>
        </w:rPr>
        <w:t xml:space="preserve">UCITS </w:t>
      </w:r>
      <w:r w:rsidR="00531C23">
        <w:rPr>
          <w:rFonts w:cs="Arial"/>
        </w:rPr>
        <w:t>retail s</w:t>
      </w:r>
      <w:r w:rsidRPr="0009387C">
        <w:rPr>
          <w:rFonts w:cs="Arial"/>
        </w:rPr>
        <w:t xml:space="preserve">cheme which complies with the Sourcebook, which means that there are certain investment regulations which it must follow.  </w:t>
      </w:r>
    </w:p>
    <w:p w:rsidR="009E4D35" w:rsidRPr="0009387C" w:rsidRDefault="009E4D35" w:rsidP="0009387C">
      <w:pPr>
        <w:rPr>
          <w:rFonts w:cs="Arial"/>
        </w:rPr>
      </w:pPr>
      <w:r w:rsidRPr="0009387C">
        <w:rPr>
          <w:rFonts w:cs="Arial"/>
        </w:rPr>
        <w:t>Full details are contained in the Prospectus which can be obtained on request from the ACD</w:t>
      </w:r>
      <w:r w:rsidR="00531C23">
        <w:rPr>
          <w:rFonts w:cs="Arial"/>
        </w:rPr>
        <w:t>.</w:t>
      </w:r>
    </w:p>
    <w:p w:rsidR="009E4D35" w:rsidRPr="0009387C" w:rsidRDefault="009E4D35" w:rsidP="0009387C">
      <w:pPr>
        <w:rPr>
          <w:rFonts w:cs="Arial"/>
        </w:rPr>
      </w:pPr>
      <w:r w:rsidRPr="0009387C">
        <w:rPr>
          <w:rFonts w:cs="Arial"/>
        </w:rPr>
        <w:t>For both units in a unit trust and shares in an ICVC, the price of each unit/share is directly related to the value of the underlying investments.</w:t>
      </w:r>
    </w:p>
    <w:p w:rsidR="009E4D35" w:rsidRPr="0009387C" w:rsidRDefault="009E4D35" w:rsidP="0009387C">
      <w:pPr>
        <w:rPr>
          <w:rFonts w:cs="Arial"/>
          <w:b/>
        </w:rPr>
        <w:sectPr w:rsidR="009E4D35" w:rsidRPr="0009387C" w:rsidSect="00281983">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aperSrc w:first="7" w:other="7"/>
          <w:pgNumType w:start="1"/>
          <w:cols w:space="720"/>
          <w:noEndnote/>
          <w:titlePg/>
          <w:docGrid w:linePitch="299"/>
        </w:sectPr>
      </w:pPr>
      <w:r w:rsidRPr="0009387C">
        <w:rPr>
          <w:rFonts w:cs="Arial"/>
          <w:b/>
        </w:rPr>
        <w:t xml:space="preserve"> </w:t>
      </w:r>
    </w:p>
    <w:p w:rsidR="009E4D35" w:rsidRPr="0009387C" w:rsidRDefault="009E4D35" w:rsidP="0009387C">
      <w:pPr>
        <w:pStyle w:val="AppendixHeadingTOC"/>
        <w:keepNext/>
        <w:tabs>
          <w:tab w:val="clear" w:pos="864"/>
        </w:tabs>
        <w:ind w:left="0" w:firstLine="0"/>
        <w:rPr>
          <w:rStyle w:val="HiddenText"/>
          <w:rFonts w:cs="Arial"/>
        </w:rPr>
      </w:pPr>
      <w:bookmarkStart w:id="41" w:name="_Ref282766701"/>
      <w:r w:rsidRPr="0009387C">
        <w:rPr>
          <w:rStyle w:val="HiddenText"/>
          <w:rFonts w:cs="Arial"/>
        </w:rPr>
        <w:lastRenderedPageBreak/>
        <w:t>.</w:t>
      </w:r>
      <w:bookmarkEnd w:id="41"/>
    </w:p>
    <w:p w:rsidR="009E4D35" w:rsidRPr="0009387C" w:rsidRDefault="009E4D35" w:rsidP="0009387C">
      <w:pPr>
        <w:pStyle w:val="AppendixSubHeadingTOC"/>
        <w:rPr>
          <w:rFonts w:cs="Arial"/>
        </w:rPr>
      </w:pPr>
      <w:bookmarkStart w:id="42" w:name="TOClink12"/>
      <w:r w:rsidRPr="0009387C">
        <w:rPr>
          <w:rFonts w:cs="Arial"/>
        </w:rPr>
        <w:t>CONSENTS, CLEARANCES AND DOCUMENTS AVAILABLE FOR INSPECTION</w:t>
      </w:r>
    </w:p>
    <w:bookmarkEnd w:id="42"/>
    <w:p w:rsidR="009E4D35" w:rsidRPr="0009387C" w:rsidRDefault="009E4D35" w:rsidP="00131CD8">
      <w:pPr>
        <w:pStyle w:val="MacLevel1"/>
        <w:numPr>
          <w:ilvl w:val="1"/>
          <w:numId w:val="28"/>
        </w:numPr>
        <w:rPr>
          <w:rFonts w:cs="Arial"/>
        </w:rPr>
      </w:pPr>
      <w:r w:rsidRPr="0009387C">
        <w:rPr>
          <w:rFonts w:cs="Arial"/>
        </w:rPr>
        <w:t>The Trustee</w:t>
      </w:r>
    </w:p>
    <w:p w:rsidR="009E4D35" w:rsidRDefault="009E4D35" w:rsidP="0009387C">
      <w:pPr>
        <w:pStyle w:val="Body1"/>
        <w:rPr>
          <w:rFonts w:cs="Arial"/>
        </w:rPr>
      </w:pPr>
      <w:r w:rsidRPr="0009387C">
        <w:rPr>
          <w:rFonts w:cs="Arial"/>
        </w:rPr>
        <w:t>In accordance with normal market practice, the Trustee, whilst expressing no opinion on the merits of the proposals set out in this document, has informed the Manager by letter that it consents to the references made to it in this document in the form and context in which they appear (the “Consent Letter”). Whether to vote for or against the Extraordinary Resolution is a matter for the judgement of each Unitholder in the Discontinuing Fund and the confirmation is, therefore, not a recommendation as to the manner in which a Unitholder should vote.</w:t>
      </w:r>
    </w:p>
    <w:p w:rsidR="002456A2" w:rsidRDefault="00532DDA">
      <w:pPr>
        <w:pStyle w:val="MacLevel1"/>
        <w:numPr>
          <w:ilvl w:val="1"/>
          <w:numId w:val="28"/>
        </w:numPr>
        <w:rPr>
          <w:rFonts w:cs="Arial"/>
        </w:rPr>
      </w:pPr>
      <w:r>
        <w:rPr>
          <w:rFonts w:cs="Arial"/>
        </w:rPr>
        <w:t>The ACD</w:t>
      </w:r>
    </w:p>
    <w:p w:rsidR="00370995" w:rsidRPr="0009387C" w:rsidRDefault="00370995" w:rsidP="00532DDA">
      <w:pPr>
        <w:pStyle w:val="Body1"/>
        <w:rPr>
          <w:rFonts w:cs="Arial"/>
        </w:rPr>
      </w:pPr>
      <w:r>
        <w:rPr>
          <w:rFonts w:cs="Arial"/>
        </w:rPr>
        <w:t xml:space="preserve">The ACD as authorised corporate director and alternative investment fund manager of the Continuing Fund, confirms that, in its opinion, the receipt of property under the </w:t>
      </w:r>
      <w:r w:rsidR="00532DDA">
        <w:rPr>
          <w:rFonts w:cs="Arial"/>
        </w:rPr>
        <w:t>S</w:t>
      </w:r>
      <w:r>
        <w:rPr>
          <w:rFonts w:cs="Arial"/>
        </w:rPr>
        <w:t xml:space="preserve">cheme by the Continuing Fund is not likely to result in any material prejudice to the interests of shareholders in the Continuing Fund and is consistent with the objective of the </w:t>
      </w:r>
      <w:r w:rsidR="00532DDA">
        <w:rPr>
          <w:rFonts w:cs="Arial"/>
        </w:rPr>
        <w:t xml:space="preserve">Continuing </w:t>
      </w:r>
      <w:r>
        <w:rPr>
          <w:rFonts w:cs="Arial"/>
        </w:rPr>
        <w:t>Fund and can be effected without any breach of the Sourcebook.</w:t>
      </w:r>
    </w:p>
    <w:p w:rsidR="009E4D35" w:rsidRPr="0009387C" w:rsidRDefault="009E4D35" w:rsidP="00131CD8">
      <w:pPr>
        <w:pStyle w:val="MacLevel1"/>
        <w:numPr>
          <w:ilvl w:val="1"/>
          <w:numId w:val="28"/>
        </w:numPr>
        <w:rPr>
          <w:rFonts w:cs="Arial"/>
        </w:rPr>
      </w:pPr>
      <w:r w:rsidRPr="0009387C">
        <w:rPr>
          <w:rFonts w:cs="Arial"/>
        </w:rPr>
        <w:t xml:space="preserve">The </w:t>
      </w:r>
      <w:r w:rsidRPr="0009387C">
        <w:rPr>
          <w:rFonts w:cs="Arial"/>
          <w:noProof/>
          <w:lang w:val="en-US"/>
        </w:rPr>
        <w:t>FCA</w:t>
      </w:r>
    </w:p>
    <w:p w:rsidR="009E4D35" w:rsidRPr="0009387C" w:rsidRDefault="009E4D35" w:rsidP="0009387C">
      <w:pPr>
        <w:pStyle w:val="Body1"/>
        <w:rPr>
          <w:rFonts w:cs="Arial"/>
        </w:rPr>
      </w:pPr>
      <w:r w:rsidRPr="0009387C">
        <w:rPr>
          <w:rFonts w:cs="Arial"/>
        </w:rPr>
        <w:t xml:space="preserve">The </w:t>
      </w:r>
      <w:r w:rsidRPr="0009387C">
        <w:rPr>
          <w:rFonts w:cs="Arial"/>
          <w:noProof/>
          <w:lang w:val="en-US"/>
        </w:rPr>
        <w:t xml:space="preserve">FCA </w:t>
      </w:r>
      <w:r w:rsidRPr="0009387C">
        <w:rPr>
          <w:rFonts w:cs="Arial"/>
        </w:rPr>
        <w:t>has been informed of the proposal contained in this document and has confirmed that the implementation of the proposal as set out in this document will not affect the continuing authorisation of the Continuing Fund as an authorised fund.</w:t>
      </w:r>
    </w:p>
    <w:p w:rsidR="009E4D35" w:rsidRPr="0009387C" w:rsidRDefault="009E4D35" w:rsidP="00131CD8">
      <w:pPr>
        <w:pStyle w:val="MacLevel1"/>
        <w:numPr>
          <w:ilvl w:val="1"/>
          <w:numId w:val="28"/>
        </w:numPr>
        <w:rPr>
          <w:rFonts w:cs="Arial"/>
        </w:rPr>
      </w:pPr>
      <w:r w:rsidRPr="0009387C">
        <w:rPr>
          <w:rFonts w:cs="Arial"/>
        </w:rPr>
        <w:t xml:space="preserve">Documents Available for Inspection </w:t>
      </w:r>
    </w:p>
    <w:p w:rsidR="009E4D35" w:rsidRPr="0009387C" w:rsidRDefault="009E4D35" w:rsidP="0009387C">
      <w:pPr>
        <w:pStyle w:val="Body1"/>
        <w:rPr>
          <w:rStyle w:val="MacLevel2Char"/>
          <w:rFonts w:cs="Arial"/>
        </w:rPr>
      </w:pPr>
      <w:r w:rsidRPr="0009387C">
        <w:rPr>
          <w:rFonts w:cs="Arial"/>
        </w:rPr>
        <w:t xml:space="preserve">Copies of the following documents will be available for inspection at </w:t>
      </w:r>
      <w:r w:rsidR="003238AE">
        <w:rPr>
          <w:rFonts w:cs="Arial"/>
        </w:rPr>
        <w:t xml:space="preserve">Millennium Bridge House, </w:t>
      </w:r>
      <w:r w:rsidRPr="0009387C">
        <w:rPr>
          <w:rFonts w:cs="Arial"/>
        </w:rPr>
        <w:t>2 Lambeth Hill, London EC4V 4A</w:t>
      </w:r>
      <w:r w:rsidR="003238AE">
        <w:rPr>
          <w:rFonts w:cs="Arial"/>
        </w:rPr>
        <w:t>J</w:t>
      </w:r>
      <w:r w:rsidRPr="0009387C">
        <w:rPr>
          <w:rFonts w:cs="Arial"/>
        </w:rPr>
        <w:t xml:space="preserve"> during normal business hours (excluding Saturdays, Sundays and public holidays) until the approved Scheme becomes effective</w:t>
      </w:r>
      <w:r w:rsidRPr="0009387C">
        <w:rPr>
          <w:rStyle w:val="MacLevel2Char"/>
          <w:rFonts w:cs="Arial"/>
        </w:rPr>
        <w:t>:</w:t>
      </w:r>
    </w:p>
    <w:p w:rsidR="009E4D35" w:rsidRPr="0009387C" w:rsidRDefault="000757A6" w:rsidP="001C50A9">
      <w:pPr>
        <w:pStyle w:val="MacLevel2"/>
        <w:numPr>
          <w:ilvl w:val="0"/>
          <w:numId w:val="0"/>
        </w:numPr>
        <w:ind w:left="851"/>
      </w:pPr>
      <w:bookmarkStart w:id="43" w:name="_Ref283902273"/>
      <w:r>
        <w:t>4</w:t>
      </w:r>
      <w:r w:rsidR="001C50A9">
        <w:t>.1</w:t>
      </w:r>
      <w:r w:rsidR="001C50A9">
        <w:tab/>
      </w:r>
      <w:r w:rsidR="009E4D35" w:rsidRPr="0009387C">
        <w:t>Incorporation Documentation of the Funds;</w:t>
      </w:r>
      <w:bookmarkEnd w:id="43"/>
    </w:p>
    <w:p w:rsidR="009E4D35" w:rsidRPr="0009387C" w:rsidRDefault="000757A6" w:rsidP="001C50A9">
      <w:pPr>
        <w:pStyle w:val="MacLevel2"/>
        <w:numPr>
          <w:ilvl w:val="0"/>
          <w:numId w:val="0"/>
        </w:numPr>
        <w:ind w:left="851"/>
        <w:rPr>
          <w:rFonts w:cs="Arial"/>
        </w:rPr>
      </w:pPr>
      <w:r>
        <w:rPr>
          <w:rFonts w:cs="Arial"/>
        </w:rPr>
        <w:t>4</w:t>
      </w:r>
      <w:r w:rsidR="001C50A9">
        <w:rPr>
          <w:rFonts w:cs="Arial"/>
        </w:rPr>
        <w:t>.2</w:t>
      </w:r>
      <w:r w:rsidR="001C50A9">
        <w:rPr>
          <w:rFonts w:cs="Arial"/>
        </w:rPr>
        <w:tab/>
      </w:r>
      <w:r w:rsidR="009E4D35" w:rsidRPr="0009387C">
        <w:rPr>
          <w:rFonts w:cs="Arial"/>
        </w:rPr>
        <w:t xml:space="preserve">reports and accounts for the last two accounting periods for the Funds; </w:t>
      </w:r>
      <w:bookmarkStart w:id="44" w:name="_Ref283902940"/>
    </w:p>
    <w:p w:rsidR="009E4D35" w:rsidRPr="0009387C" w:rsidRDefault="000757A6" w:rsidP="00532DDA">
      <w:pPr>
        <w:pStyle w:val="MacLevel2"/>
        <w:numPr>
          <w:ilvl w:val="0"/>
          <w:numId w:val="0"/>
        </w:numPr>
        <w:ind w:left="851"/>
        <w:rPr>
          <w:rFonts w:cs="Arial"/>
        </w:rPr>
      </w:pPr>
      <w:r>
        <w:rPr>
          <w:rFonts w:cs="Arial"/>
        </w:rPr>
        <w:t>4</w:t>
      </w:r>
      <w:r w:rsidR="001C50A9">
        <w:rPr>
          <w:rFonts w:cs="Arial"/>
        </w:rPr>
        <w:t>.3</w:t>
      </w:r>
      <w:r w:rsidR="001C50A9">
        <w:rPr>
          <w:rFonts w:cs="Arial"/>
        </w:rPr>
        <w:tab/>
      </w:r>
      <w:r w:rsidR="009E4D35" w:rsidRPr="00EF3CCE">
        <w:rPr>
          <w:rFonts w:cs="Arial"/>
        </w:rPr>
        <w:t xml:space="preserve">the Prospectus and the </w:t>
      </w:r>
      <w:r w:rsidR="005735C1">
        <w:rPr>
          <w:rFonts w:cs="Arial"/>
        </w:rPr>
        <w:t>NURS KII</w:t>
      </w:r>
      <w:r w:rsidR="009E4D35" w:rsidRPr="00EF3CCE">
        <w:rPr>
          <w:rFonts w:cs="Arial"/>
        </w:rPr>
        <w:t xml:space="preserve"> relating to the</w:t>
      </w:r>
      <w:r w:rsidR="009E4D35" w:rsidRPr="0009387C">
        <w:rPr>
          <w:rFonts w:cs="Arial"/>
        </w:rPr>
        <w:t xml:space="preserve"> Funds;</w:t>
      </w:r>
      <w:bookmarkEnd w:id="44"/>
      <w:r w:rsidR="009E4D35" w:rsidRPr="0009387C">
        <w:rPr>
          <w:rFonts w:cs="Arial"/>
        </w:rPr>
        <w:t xml:space="preserve">  </w:t>
      </w:r>
    </w:p>
    <w:p w:rsidR="009E4D35" w:rsidRPr="0009387C" w:rsidRDefault="000757A6" w:rsidP="001C50A9">
      <w:pPr>
        <w:pStyle w:val="MacLevel2"/>
        <w:numPr>
          <w:ilvl w:val="0"/>
          <w:numId w:val="0"/>
        </w:numPr>
        <w:ind w:left="851"/>
        <w:rPr>
          <w:rFonts w:cs="Arial"/>
        </w:rPr>
      </w:pPr>
      <w:r>
        <w:rPr>
          <w:rFonts w:cs="Arial"/>
        </w:rPr>
        <w:t>4</w:t>
      </w:r>
      <w:r w:rsidR="001C50A9">
        <w:rPr>
          <w:rFonts w:cs="Arial"/>
        </w:rPr>
        <w:t>.4</w:t>
      </w:r>
      <w:r w:rsidR="001C50A9">
        <w:rPr>
          <w:rFonts w:cs="Arial"/>
        </w:rPr>
        <w:tab/>
      </w:r>
      <w:r w:rsidR="009E4D35" w:rsidRPr="0009387C">
        <w:rPr>
          <w:rFonts w:cs="Arial"/>
        </w:rPr>
        <w:t xml:space="preserve">the approval of the </w:t>
      </w:r>
      <w:r w:rsidR="009E4D35" w:rsidRPr="0009387C">
        <w:rPr>
          <w:rFonts w:cs="Arial"/>
          <w:noProof/>
          <w:lang w:val="en-US"/>
        </w:rPr>
        <w:t xml:space="preserve">FCA </w:t>
      </w:r>
      <w:r w:rsidR="009E4D35" w:rsidRPr="0009387C">
        <w:rPr>
          <w:rFonts w:cs="Arial"/>
        </w:rPr>
        <w:t xml:space="preserve">referred to above under “The </w:t>
      </w:r>
      <w:r w:rsidR="009E4D35" w:rsidRPr="0009387C">
        <w:rPr>
          <w:rFonts w:cs="Arial"/>
          <w:noProof/>
          <w:lang w:val="en-US"/>
        </w:rPr>
        <w:t>FCA</w:t>
      </w:r>
      <w:r w:rsidR="009E4D35" w:rsidRPr="0009387C">
        <w:rPr>
          <w:rFonts w:cs="Arial"/>
        </w:rPr>
        <w:t>”; and</w:t>
      </w:r>
    </w:p>
    <w:p w:rsidR="009E4D35" w:rsidRPr="0009387C" w:rsidRDefault="000757A6" w:rsidP="001C50A9">
      <w:pPr>
        <w:pStyle w:val="MacLevel2"/>
        <w:numPr>
          <w:ilvl w:val="0"/>
          <w:numId w:val="0"/>
        </w:numPr>
        <w:ind w:left="851"/>
        <w:rPr>
          <w:rFonts w:cs="Arial"/>
        </w:rPr>
      </w:pPr>
      <w:r>
        <w:rPr>
          <w:rFonts w:cs="Arial"/>
        </w:rPr>
        <w:t>4</w:t>
      </w:r>
      <w:r w:rsidR="001C50A9">
        <w:rPr>
          <w:rFonts w:cs="Arial"/>
        </w:rPr>
        <w:t>.5</w:t>
      </w:r>
      <w:r w:rsidR="001C50A9">
        <w:rPr>
          <w:rFonts w:cs="Arial"/>
        </w:rPr>
        <w:tab/>
      </w:r>
      <w:r w:rsidR="009E4D35" w:rsidRPr="0009387C">
        <w:rPr>
          <w:rFonts w:cs="Arial"/>
        </w:rPr>
        <w:t>the Consent Letter referred to above under “The Trustee”.</w:t>
      </w:r>
    </w:p>
    <w:p w:rsidR="009E4D35" w:rsidRPr="0009387C" w:rsidRDefault="009E4D35" w:rsidP="0009387C">
      <w:pPr>
        <w:spacing w:after="0"/>
        <w:jc w:val="left"/>
      </w:pPr>
      <w:r w:rsidRPr="0009387C">
        <w:br w:type="page"/>
      </w:r>
    </w:p>
    <w:p w:rsidR="009E4D35" w:rsidRPr="0009387C" w:rsidRDefault="009E4D35" w:rsidP="0009387C">
      <w:pPr>
        <w:pStyle w:val="AppendixHeadingTOC"/>
        <w:keepNext/>
        <w:tabs>
          <w:tab w:val="clear" w:pos="864"/>
        </w:tabs>
        <w:ind w:left="0" w:firstLine="0"/>
        <w:rPr>
          <w:rStyle w:val="HiddenText"/>
          <w:color w:val="auto"/>
        </w:rPr>
      </w:pPr>
      <w:bookmarkStart w:id="45" w:name="_Ref370302760"/>
    </w:p>
    <w:bookmarkEnd w:id="45"/>
    <w:p w:rsidR="009E4D35" w:rsidRPr="0009387C" w:rsidRDefault="005B6075" w:rsidP="0009387C">
      <w:pPr>
        <w:pStyle w:val="AppendixSubHeadingTOC"/>
      </w:pPr>
      <w:r>
        <w:t>Notice of Extraordinary General Meeting of Unitholders</w:t>
      </w:r>
    </w:p>
    <w:p w:rsidR="009E4D35" w:rsidRPr="0009387C" w:rsidRDefault="009E4D35" w:rsidP="0009387C">
      <w:pPr>
        <w:spacing w:after="0"/>
        <w:rPr>
          <w:b/>
        </w:rPr>
      </w:pPr>
    </w:p>
    <w:p w:rsidR="005B6075" w:rsidRDefault="005B6075" w:rsidP="005B6075">
      <w:pPr>
        <w:widowControl w:val="0"/>
        <w:spacing w:after="0"/>
        <w:rPr>
          <w:spacing w:val="-2"/>
        </w:rPr>
      </w:pPr>
      <w:r>
        <w:rPr>
          <w:b/>
          <w:spacing w:val="-2"/>
        </w:rPr>
        <w:t>NOTICE IS HEREBY GIVEN</w:t>
      </w:r>
      <w:r>
        <w:rPr>
          <w:spacing w:val="-2"/>
        </w:rPr>
        <w:t xml:space="preserve"> that an </w:t>
      </w:r>
      <w:r>
        <w:rPr>
          <w:bCs/>
          <w:spacing w:val="-2"/>
        </w:rPr>
        <w:t>Extraordinary General</w:t>
      </w:r>
      <w:r>
        <w:rPr>
          <w:spacing w:val="-2"/>
        </w:rPr>
        <w:t xml:space="preserve"> Meeting of Unitholders in Old Mutual Property Fund (the “</w:t>
      </w:r>
      <w:r w:rsidRPr="005B6075">
        <w:rPr>
          <w:b/>
          <w:spacing w:val="-2"/>
        </w:rPr>
        <w:t>Fund</w:t>
      </w:r>
      <w:r>
        <w:rPr>
          <w:spacing w:val="-2"/>
        </w:rPr>
        <w:t>”) will be held at Old Mutual Investment Management</w:t>
      </w:r>
      <w:r w:rsidRPr="00F342FA">
        <w:rPr>
          <w:spacing w:val="-2"/>
        </w:rPr>
        <w:t xml:space="preserve"> Limited</w:t>
      </w:r>
      <w:r>
        <w:rPr>
          <w:spacing w:val="-2"/>
        </w:rPr>
        <w:t xml:space="preserve">, Millennium Bridge House, </w:t>
      </w:r>
      <w:r w:rsidR="00C056CF">
        <w:rPr>
          <w:spacing w:val="-2"/>
        </w:rPr>
        <w:t xml:space="preserve">2 Lambeth Hill, </w:t>
      </w:r>
      <w:r w:rsidRPr="00F342FA">
        <w:rPr>
          <w:spacing w:val="-2"/>
        </w:rPr>
        <w:t>L</w:t>
      </w:r>
      <w:r>
        <w:rPr>
          <w:spacing w:val="-2"/>
        </w:rPr>
        <w:t>ondon EC4V 4AJ</w:t>
      </w:r>
      <w:r>
        <w:t xml:space="preserve"> on </w:t>
      </w:r>
      <w:r w:rsidR="009A1FB3">
        <w:t>27 November</w:t>
      </w:r>
      <w:r>
        <w:t xml:space="preserve"> 2014 </w:t>
      </w:r>
      <w:r w:rsidRPr="00720242">
        <w:rPr>
          <w:spacing w:val="-2"/>
        </w:rPr>
        <w:t>at</w:t>
      </w:r>
      <w:r>
        <w:rPr>
          <w:spacing w:val="-2"/>
        </w:rPr>
        <w:t xml:space="preserve"> </w:t>
      </w:r>
      <w:r w:rsidR="003F1DE3">
        <w:rPr>
          <w:spacing w:val="-2"/>
        </w:rPr>
        <w:t>10</w:t>
      </w:r>
      <w:r>
        <w:rPr>
          <w:spacing w:val="-2"/>
        </w:rPr>
        <w:t xml:space="preserve"> am to consider and, if thought fit, to pass the following resolution which will be proposed as an Extraordinary Resolution:</w:t>
      </w:r>
    </w:p>
    <w:p w:rsidR="005B6075" w:rsidRDefault="005B6075" w:rsidP="005B6075">
      <w:pPr>
        <w:widowControl w:val="0"/>
        <w:spacing w:after="0"/>
        <w:rPr>
          <w:spacing w:val="-2"/>
        </w:rPr>
      </w:pPr>
    </w:p>
    <w:p w:rsidR="005B6075" w:rsidRDefault="005B6075" w:rsidP="005B6075">
      <w:pPr>
        <w:widowControl w:val="0"/>
        <w:spacing w:after="0"/>
        <w:ind w:left="2160" w:firstLine="720"/>
        <w:rPr>
          <w:b/>
          <w:bCs/>
          <w:spacing w:val="-2"/>
        </w:rPr>
      </w:pPr>
      <w:r>
        <w:rPr>
          <w:b/>
          <w:bCs/>
          <w:spacing w:val="-2"/>
        </w:rPr>
        <w:t>Extraordinary Resolution</w:t>
      </w:r>
    </w:p>
    <w:p w:rsidR="005B6075" w:rsidRDefault="005B6075" w:rsidP="005B6075">
      <w:pPr>
        <w:widowControl w:val="0"/>
        <w:spacing w:after="0"/>
        <w:rPr>
          <w:spacing w:val="-2"/>
        </w:rPr>
      </w:pPr>
    </w:p>
    <w:p w:rsidR="005B6075" w:rsidRPr="006A1942" w:rsidRDefault="005B6075" w:rsidP="005735C1">
      <w:pPr>
        <w:widowControl w:val="0"/>
        <w:spacing w:after="0"/>
      </w:pPr>
      <w:r w:rsidRPr="006A1942">
        <w:t>THAT the Scheme of Arrangement of the Fund (“</w:t>
      </w:r>
      <w:r w:rsidRPr="006A1942">
        <w:rPr>
          <w:b/>
        </w:rPr>
        <w:t>Scheme</w:t>
      </w:r>
      <w:r w:rsidRPr="006A1942">
        <w:t xml:space="preserve">”) contained in a document dated </w:t>
      </w:r>
      <w:r w:rsidR="000D6CA7" w:rsidRPr="006A1942">
        <w:rPr>
          <w:spacing w:val="-2"/>
        </w:rPr>
        <w:t>1</w:t>
      </w:r>
      <w:r w:rsidR="006A1942" w:rsidRPr="006A1942">
        <w:rPr>
          <w:spacing w:val="-2"/>
        </w:rPr>
        <w:t>2</w:t>
      </w:r>
      <w:r w:rsidR="004E5B87" w:rsidRPr="006A1942">
        <w:rPr>
          <w:spacing w:val="-2"/>
        </w:rPr>
        <w:t xml:space="preserve"> November</w:t>
      </w:r>
      <w:r w:rsidRPr="006A1942">
        <w:rPr>
          <w:spacing w:val="-2"/>
        </w:rPr>
        <w:t xml:space="preserve"> 2014 </w:t>
      </w:r>
      <w:r w:rsidRPr="006A1942">
        <w:t xml:space="preserve">and addressed by </w:t>
      </w:r>
      <w:r w:rsidRPr="006A1942">
        <w:rPr>
          <w:spacing w:val="-2"/>
        </w:rPr>
        <w:t xml:space="preserve">Old Mutual Investment Management Limited </w:t>
      </w:r>
      <w:r w:rsidRPr="006A1942">
        <w:t>to the Unitholders in the Fund (the “</w:t>
      </w:r>
      <w:r w:rsidRPr="006A1942">
        <w:rPr>
          <w:b/>
        </w:rPr>
        <w:t>Circular</w:t>
      </w:r>
      <w:r w:rsidRPr="006A1942">
        <w:t xml:space="preserve">”) (a copy of which has been produced to the meeting and initialled by the Chairman for the purpose of identification) </w:t>
      </w:r>
      <w:r w:rsidRPr="006A1942">
        <w:rPr>
          <w:spacing w:val="-2"/>
        </w:rPr>
        <w:t xml:space="preserve">be and the same is hereby approved and accordingly that National Westminster Bank Plc as </w:t>
      </w:r>
      <w:r w:rsidR="00C056CF" w:rsidRPr="006A1942">
        <w:rPr>
          <w:spacing w:val="-2"/>
        </w:rPr>
        <w:t>Trustee</w:t>
      </w:r>
      <w:r w:rsidRPr="006A1942">
        <w:rPr>
          <w:spacing w:val="-2"/>
        </w:rPr>
        <w:t xml:space="preserve"> of the Fund and </w:t>
      </w:r>
      <w:r w:rsidR="00C056CF" w:rsidRPr="006A1942">
        <w:rPr>
          <w:spacing w:val="-2"/>
        </w:rPr>
        <w:t>Old Mutual Investment Management</w:t>
      </w:r>
      <w:r w:rsidRPr="006A1942">
        <w:rPr>
          <w:spacing w:val="-2"/>
        </w:rPr>
        <w:t xml:space="preserve"> Limited as </w:t>
      </w:r>
      <w:r w:rsidR="00C056CF" w:rsidRPr="006A1942">
        <w:rPr>
          <w:spacing w:val="-2"/>
        </w:rPr>
        <w:t>Manager</w:t>
      </w:r>
      <w:r w:rsidRPr="006A1942">
        <w:rPr>
          <w:spacing w:val="-2"/>
        </w:rPr>
        <w:t xml:space="preserve"> of the Fund respectively be and they are hereby authorised to implement and give effect to the said Scheme subject to satisfaction or waiver (as appropriate) of the conditions set out in the Circular and to the exclusion of any contrary provision in the documents governing the Fund.</w:t>
      </w:r>
    </w:p>
    <w:p w:rsidR="005B6075" w:rsidRPr="006A1942" w:rsidRDefault="005B6075" w:rsidP="005B6075">
      <w:pPr>
        <w:pStyle w:val="Body6"/>
        <w:spacing w:after="0"/>
        <w:ind w:left="2160" w:hanging="720"/>
      </w:pPr>
    </w:p>
    <w:p w:rsidR="005B6075" w:rsidRDefault="000D6CA7" w:rsidP="005B6075">
      <w:pPr>
        <w:spacing w:after="0"/>
        <w:rPr>
          <w:spacing w:val="-2"/>
        </w:rPr>
      </w:pPr>
      <w:r w:rsidRPr="006A1942">
        <w:rPr>
          <w:spacing w:val="-2"/>
        </w:rPr>
        <w:t>Dated:</w:t>
      </w:r>
      <w:r w:rsidRPr="006A1942">
        <w:rPr>
          <w:spacing w:val="-2"/>
        </w:rPr>
        <w:tab/>
        <w:t>1</w:t>
      </w:r>
      <w:r w:rsidR="006A1942" w:rsidRPr="006A1942">
        <w:rPr>
          <w:spacing w:val="-2"/>
        </w:rPr>
        <w:t>2</w:t>
      </w:r>
      <w:r w:rsidR="004E5B87" w:rsidRPr="006A1942">
        <w:rPr>
          <w:spacing w:val="-2"/>
        </w:rPr>
        <w:t xml:space="preserve"> November</w:t>
      </w:r>
      <w:r w:rsidR="005B6075" w:rsidRPr="006A1942">
        <w:rPr>
          <w:spacing w:val="-2"/>
        </w:rPr>
        <w:t xml:space="preserve"> </w:t>
      </w:r>
      <w:r w:rsidR="00C056CF" w:rsidRPr="006A1942">
        <w:rPr>
          <w:spacing w:val="-2"/>
        </w:rPr>
        <w:t>2014</w:t>
      </w:r>
    </w:p>
    <w:p w:rsidR="005B6075" w:rsidRDefault="005B6075" w:rsidP="005B6075">
      <w:pPr>
        <w:spacing w:after="0"/>
        <w:rPr>
          <w:spacing w:val="-2"/>
        </w:rPr>
      </w:pPr>
    </w:p>
    <w:p w:rsidR="005B6075" w:rsidRDefault="005B6075" w:rsidP="005B6075">
      <w:pPr>
        <w:spacing w:after="0"/>
        <w:rPr>
          <w:spacing w:val="-2"/>
        </w:rPr>
      </w:pPr>
    </w:p>
    <w:p w:rsidR="005B6075" w:rsidRDefault="00C056CF" w:rsidP="005B6075">
      <w:pPr>
        <w:spacing w:after="0"/>
        <w:rPr>
          <w:spacing w:val="-2"/>
        </w:rPr>
      </w:pPr>
      <w:r>
        <w:rPr>
          <w:spacing w:val="-2"/>
        </w:rPr>
        <w:t>Old Mutual Investment Management Limited</w:t>
      </w:r>
    </w:p>
    <w:p w:rsidR="005B6075" w:rsidRDefault="005B6075" w:rsidP="005B6075">
      <w:pPr>
        <w:spacing w:after="0"/>
        <w:rPr>
          <w:spacing w:val="-2"/>
        </w:rPr>
      </w:pPr>
    </w:p>
    <w:p w:rsidR="005B6075" w:rsidRDefault="005B6075" w:rsidP="005B6075">
      <w:pPr>
        <w:spacing w:after="0"/>
        <w:rPr>
          <w:spacing w:val="-2"/>
        </w:rPr>
      </w:pPr>
      <w:r>
        <w:rPr>
          <w:spacing w:val="-2"/>
        </w:rPr>
        <w:t>Registered Office:</w:t>
      </w:r>
    </w:p>
    <w:p w:rsidR="005B6075" w:rsidRDefault="005B6075" w:rsidP="005B6075">
      <w:pPr>
        <w:spacing w:after="0"/>
        <w:rPr>
          <w:spacing w:val="-2"/>
        </w:rPr>
      </w:pPr>
    </w:p>
    <w:p w:rsidR="005B6075" w:rsidRDefault="00C056CF" w:rsidP="005B6075">
      <w:pPr>
        <w:widowControl w:val="0"/>
        <w:spacing w:after="0"/>
        <w:rPr>
          <w:spacing w:val="-2"/>
        </w:rPr>
      </w:pPr>
      <w:r>
        <w:rPr>
          <w:spacing w:val="-2"/>
        </w:rPr>
        <w:t>Millennium Bridge House</w:t>
      </w:r>
    </w:p>
    <w:p w:rsidR="00C056CF" w:rsidRDefault="00C056CF" w:rsidP="005B6075">
      <w:pPr>
        <w:widowControl w:val="0"/>
        <w:spacing w:after="0"/>
        <w:rPr>
          <w:spacing w:val="-2"/>
        </w:rPr>
      </w:pPr>
      <w:r>
        <w:rPr>
          <w:spacing w:val="-2"/>
        </w:rPr>
        <w:t>2 Lambeth Hill</w:t>
      </w:r>
    </w:p>
    <w:p w:rsidR="00C056CF" w:rsidRDefault="005B6075" w:rsidP="005B6075">
      <w:pPr>
        <w:widowControl w:val="0"/>
        <w:spacing w:after="0"/>
        <w:rPr>
          <w:spacing w:val="-2"/>
        </w:rPr>
      </w:pPr>
      <w:r w:rsidRPr="00F342FA">
        <w:rPr>
          <w:spacing w:val="-2"/>
        </w:rPr>
        <w:t>L</w:t>
      </w:r>
      <w:r>
        <w:rPr>
          <w:spacing w:val="-2"/>
        </w:rPr>
        <w:t xml:space="preserve">ondon </w:t>
      </w:r>
    </w:p>
    <w:p w:rsidR="009E4D35" w:rsidRDefault="005B6075" w:rsidP="00C056CF">
      <w:pPr>
        <w:widowControl w:val="0"/>
        <w:spacing w:after="0"/>
        <w:rPr>
          <w:spacing w:val="-2"/>
        </w:rPr>
      </w:pPr>
      <w:r w:rsidRPr="00F342FA">
        <w:rPr>
          <w:spacing w:val="-2"/>
        </w:rPr>
        <w:t>EC</w:t>
      </w:r>
      <w:r w:rsidR="00C056CF">
        <w:rPr>
          <w:spacing w:val="-2"/>
        </w:rPr>
        <w:t>4V 4AJ</w:t>
      </w:r>
    </w:p>
    <w:p w:rsidR="00C056CF" w:rsidRDefault="00C056CF" w:rsidP="00C056CF">
      <w:pPr>
        <w:widowControl w:val="0"/>
        <w:spacing w:after="0"/>
        <w:rPr>
          <w:spacing w:val="-2"/>
        </w:rPr>
      </w:pPr>
    </w:p>
    <w:p w:rsidR="00C056CF" w:rsidRDefault="00C056CF" w:rsidP="00C056CF">
      <w:pPr>
        <w:widowControl w:val="0"/>
        <w:spacing w:after="0"/>
        <w:rPr>
          <w:spacing w:val="-2"/>
        </w:rPr>
      </w:pPr>
    </w:p>
    <w:p w:rsidR="000740DD" w:rsidRDefault="000740DD" w:rsidP="00C056CF">
      <w:pPr>
        <w:widowControl w:val="0"/>
        <w:spacing w:after="0"/>
        <w:rPr>
          <w:spacing w:val="-2"/>
        </w:rPr>
      </w:pPr>
    </w:p>
    <w:p w:rsidR="000740DD" w:rsidRDefault="000740DD" w:rsidP="00C056CF">
      <w:pPr>
        <w:widowControl w:val="0"/>
        <w:spacing w:after="0"/>
        <w:rPr>
          <w:spacing w:val="-2"/>
        </w:rPr>
      </w:pPr>
    </w:p>
    <w:p w:rsidR="00C056CF" w:rsidRDefault="00C056CF" w:rsidP="000740DD">
      <w:pPr>
        <w:widowControl w:val="0"/>
        <w:spacing w:after="0"/>
        <w:rPr>
          <w:b/>
          <w:spacing w:val="-2"/>
        </w:rPr>
      </w:pPr>
      <w:r>
        <w:rPr>
          <w:b/>
          <w:spacing w:val="-2"/>
        </w:rPr>
        <w:br w:type="page"/>
      </w:r>
      <w:r>
        <w:rPr>
          <w:b/>
          <w:spacing w:val="-2"/>
        </w:rPr>
        <w:lastRenderedPageBreak/>
        <w:t>NOTES:</w:t>
      </w:r>
    </w:p>
    <w:p w:rsidR="00C056CF" w:rsidRDefault="00C056CF" w:rsidP="00C056CF">
      <w:pPr>
        <w:widowControl w:val="0"/>
        <w:spacing w:after="0"/>
        <w:jc w:val="center"/>
        <w:rPr>
          <w:spacing w:val="-2"/>
        </w:rPr>
      </w:pPr>
    </w:p>
    <w:p w:rsidR="00C056CF" w:rsidRDefault="00C056CF" w:rsidP="000D64DC">
      <w:pPr>
        <w:pStyle w:val="MacLevel1"/>
        <w:numPr>
          <w:ilvl w:val="1"/>
          <w:numId w:val="26"/>
        </w:numPr>
      </w:pPr>
      <w:r>
        <w:t xml:space="preserve">A Unitholder entitled to attend and vote at the above meeting is entitled to appoint a proxy to attend and vote instead of him.  A proxy need not also be a Unitholder. </w:t>
      </w:r>
    </w:p>
    <w:p w:rsidR="00C056CF" w:rsidRDefault="00C056CF" w:rsidP="000D64DC">
      <w:pPr>
        <w:pStyle w:val="MacLevel1"/>
        <w:numPr>
          <w:ilvl w:val="1"/>
          <w:numId w:val="26"/>
        </w:numPr>
      </w:pPr>
      <w:r>
        <w:t>To be valid, a Form of Proxy, any power of attorney or other authority under which the Form of Proxy is signed (or a copy thereof certified by a solicitor) must be lodged with Old Mutual Investment Management Limited, Millennium Bridge House</w:t>
      </w:r>
      <w:r w:rsidRPr="00873730">
        <w:t xml:space="preserve"> </w:t>
      </w:r>
      <w:r>
        <w:t>not less than 48 hours before the time of the meeting or any adjourned meeting.  A Form of Proxy is enclosed.  Forms of Proxy completed for use at the original meeting will remain valid for any adjourned meeting.</w:t>
      </w:r>
    </w:p>
    <w:p w:rsidR="00C056CF" w:rsidRDefault="00C056CF" w:rsidP="000D64DC">
      <w:pPr>
        <w:pStyle w:val="MacLevel1"/>
        <w:numPr>
          <w:ilvl w:val="1"/>
          <w:numId w:val="26"/>
        </w:numPr>
      </w:pPr>
      <w:r>
        <w:t xml:space="preserve">The quorum for a meeting of </w:t>
      </w:r>
      <w:r w:rsidR="0041563E">
        <w:t>Unit</w:t>
      </w:r>
      <w:r>
        <w:t xml:space="preserve">holders is two holders present in person or by proxy who were </w:t>
      </w:r>
      <w:r w:rsidR="0041563E">
        <w:t>Unit</w:t>
      </w:r>
      <w:r>
        <w:t xml:space="preserve">holders of the </w:t>
      </w:r>
      <w:r w:rsidR="0041563E">
        <w:t xml:space="preserve">Discontinuing </w:t>
      </w:r>
      <w:r>
        <w:t xml:space="preserve">Fund on the date seven days before the notice of meeting was sent out but excluding those who are known to the </w:t>
      </w:r>
      <w:r w:rsidR="0041563E">
        <w:t>Manager</w:t>
      </w:r>
      <w:r>
        <w:t xml:space="preserve"> not to be </w:t>
      </w:r>
      <w:r w:rsidR="0041563E">
        <w:t>Unit</w:t>
      </w:r>
      <w:r>
        <w:t xml:space="preserve">holders at the time of the meeting.   Except in any case where the </w:t>
      </w:r>
      <w:r w:rsidR="0041563E">
        <w:t>Manager</w:t>
      </w:r>
      <w:r>
        <w:t xml:space="preserve"> holds </w:t>
      </w:r>
      <w:r w:rsidR="0041563E">
        <w:t>Unit</w:t>
      </w:r>
      <w:r>
        <w:t xml:space="preserve">s on behalf of or jointly with a person who, if himself the sole registered holder, would be entitled to vote, and from whom the </w:t>
      </w:r>
      <w:r w:rsidR="0041563E">
        <w:t>Manager</w:t>
      </w:r>
      <w:r>
        <w:t xml:space="preserve"> has received voting instructions, </w:t>
      </w:r>
      <w:r w:rsidR="0041563E">
        <w:t>Units</w:t>
      </w:r>
      <w:r>
        <w:t xml:space="preserve"> held or deemed to be held by the </w:t>
      </w:r>
      <w:r w:rsidR="0041563E">
        <w:t>Manager</w:t>
      </w:r>
      <w:r>
        <w:t xml:space="preserve"> are not taken into account as being in issue nor may the </w:t>
      </w:r>
      <w:r w:rsidR="0041563E">
        <w:t>Manager</w:t>
      </w:r>
      <w:r>
        <w:t xml:space="preserve"> vote or be counted in the quorum.  The majority required for the passing of the Extraordinary Resolution is 75% or more of the total number of votes cast for and against such resolution.</w:t>
      </w:r>
    </w:p>
    <w:p w:rsidR="00C056CF" w:rsidRDefault="00C056CF" w:rsidP="000D64DC">
      <w:pPr>
        <w:pStyle w:val="MacLevel1"/>
        <w:numPr>
          <w:ilvl w:val="1"/>
          <w:numId w:val="26"/>
        </w:numPr>
      </w:pPr>
      <w:r>
        <w:t xml:space="preserve">At the Meeting the vote will be taken by poll.  On a poll, each </w:t>
      </w:r>
      <w:r w:rsidR="0041563E">
        <w:t>Unit</w:t>
      </w:r>
      <w:r>
        <w:t xml:space="preserve"> will carry that proportion of the total number of votes exercisable in respect of </w:t>
      </w:r>
      <w:r w:rsidR="0041563E">
        <w:t>Units</w:t>
      </w:r>
      <w:r>
        <w:t xml:space="preserve"> as is equal to the proportion which the price of one </w:t>
      </w:r>
      <w:r w:rsidR="0041563E">
        <w:t>Unit</w:t>
      </w:r>
      <w:r>
        <w:t xml:space="preserve"> bears to the aggregate price of all </w:t>
      </w:r>
      <w:r w:rsidR="0041563E">
        <w:t>Unit</w:t>
      </w:r>
      <w:r>
        <w:t>s.</w:t>
      </w:r>
    </w:p>
    <w:p w:rsidR="00C056CF" w:rsidRDefault="00C056CF" w:rsidP="000D64DC">
      <w:pPr>
        <w:pStyle w:val="MacLevel1"/>
        <w:numPr>
          <w:ilvl w:val="1"/>
          <w:numId w:val="26"/>
        </w:numPr>
      </w:pPr>
      <w:r>
        <w:t xml:space="preserve">Votes may not be cast by the </w:t>
      </w:r>
      <w:r w:rsidR="0041563E">
        <w:t>Manager</w:t>
      </w:r>
      <w:r>
        <w:t xml:space="preserve"> (or any associate of the </w:t>
      </w:r>
      <w:r w:rsidR="0041563E">
        <w:t>Manager</w:t>
      </w:r>
      <w:r>
        <w:t xml:space="preserve">), except in any case where the </w:t>
      </w:r>
      <w:r w:rsidR="0041563E">
        <w:t>Manager</w:t>
      </w:r>
      <w:r>
        <w:t xml:space="preserve">, or any such associate, hold </w:t>
      </w:r>
      <w:r w:rsidR="0041563E">
        <w:t>Unit</w:t>
      </w:r>
      <w:r>
        <w:t xml:space="preserve">s on behalf of or jointly with a person who, if himself the registered holder, would be entitled to vote, and from whom the </w:t>
      </w:r>
      <w:r w:rsidR="0041563E">
        <w:t>Manager</w:t>
      </w:r>
      <w:r>
        <w:t xml:space="preserve"> or the associate has received voting instructions.  A holder entitled to more than one vote need not, if he votes, use all his votes or cast all the votes he uses in the same way.</w:t>
      </w:r>
    </w:p>
    <w:p w:rsidR="0041563E" w:rsidRDefault="0041563E" w:rsidP="0041563E">
      <w:pPr>
        <w:pStyle w:val="AppendixHeadingTOC"/>
        <w:keepNext/>
        <w:numPr>
          <w:ilvl w:val="0"/>
          <w:numId w:val="0"/>
        </w:numPr>
        <w:rPr>
          <w:rStyle w:val="HiddenText"/>
        </w:rPr>
      </w:pPr>
      <w:r>
        <w:rPr>
          <w:b w:val="0"/>
          <w:spacing w:val="-2"/>
        </w:rPr>
        <w:br w:type="page"/>
      </w:r>
      <w:r>
        <w:lastRenderedPageBreak/>
        <w:t>APPENDIX E</w:t>
      </w:r>
      <w:r>
        <w:rPr>
          <w:rStyle w:val="HiddenText"/>
        </w:rPr>
        <w:t>.</w:t>
      </w:r>
    </w:p>
    <w:p w:rsidR="0041563E" w:rsidRPr="006046D6" w:rsidRDefault="0041563E" w:rsidP="0041563E">
      <w:pPr>
        <w:pStyle w:val="AppendixSubHeadingTOC"/>
      </w:pPr>
      <w:bookmarkStart w:id="46" w:name="TOCLink5"/>
      <w:r>
        <w:t>Old Mutual Property Fund</w:t>
      </w:r>
      <w:r w:rsidRPr="006046D6">
        <w:t> </w:t>
      </w:r>
      <w:r w:rsidRPr="00217866">
        <w:t xml:space="preserve">(the </w:t>
      </w:r>
      <w:r>
        <w:t>“</w:t>
      </w:r>
      <w:r w:rsidRPr="00217866">
        <w:t>Fund</w:t>
      </w:r>
      <w:r>
        <w:t>”</w:t>
      </w:r>
      <w:r w:rsidRPr="00217866">
        <w:t>)</w:t>
      </w:r>
    </w:p>
    <w:bookmarkEnd w:id="46"/>
    <w:p w:rsidR="0041563E" w:rsidRPr="00406DE9" w:rsidRDefault="0041563E" w:rsidP="0041563E">
      <w:pPr>
        <w:widowControl w:val="0"/>
        <w:spacing w:after="0"/>
        <w:jc w:val="center"/>
        <w:rPr>
          <w:b/>
          <w:spacing w:val="-2"/>
          <w:sz w:val="22"/>
          <w:szCs w:val="22"/>
        </w:rPr>
      </w:pPr>
      <w:r w:rsidRPr="00406DE9">
        <w:rPr>
          <w:b/>
          <w:spacing w:val="-2"/>
          <w:sz w:val="22"/>
          <w:szCs w:val="22"/>
        </w:rPr>
        <w:t>FORM OF PROXY</w:t>
      </w:r>
    </w:p>
    <w:p w:rsidR="0041563E" w:rsidRDefault="0041563E" w:rsidP="0041563E">
      <w:pPr>
        <w:widowControl w:val="0"/>
        <w:spacing w:after="0"/>
        <w:jc w:val="center"/>
        <w:rPr>
          <w:spacing w:val="-2"/>
        </w:rPr>
      </w:pPr>
    </w:p>
    <w:p w:rsidR="0041563E" w:rsidRDefault="0041563E" w:rsidP="0041563E">
      <w:pPr>
        <w:widowControl w:val="0"/>
        <w:spacing w:after="0"/>
        <w:rPr>
          <w:spacing w:val="-2"/>
        </w:rPr>
      </w:pPr>
      <w:r>
        <w:rPr>
          <w:spacing w:val="-2"/>
        </w:rPr>
        <w:t xml:space="preserve">For use in connection with the Meeting of Unitholders in the Fund to be held on </w:t>
      </w:r>
      <w:r w:rsidR="009A1FB3">
        <w:rPr>
          <w:spacing w:val="-2"/>
        </w:rPr>
        <w:t>27 November</w:t>
      </w:r>
      <w:r>
        <w:rPr>
          <w:spacing w:val="-2"/>
        </w:rPr>
        <w:t xml:space="preserve"> 2014</w:t>
      </w:r>
      <w:r w:rsidRPr="00720242">
        <w:rPr>
          <w:spacing w:val="-2"/>
        </w:rPr>
        <w:t xml:space="preserve"> at</w:t>
      </w:r>
      <w:r>
        <w:rPr>
          <w:spacing w:val="-2"/>
        </w:rPr>
        <w:t xml:space="preserve"> </w:t>
      </w:r>
      <w:r w:rsidR="003F1DE3">
        <w:rPr>
          <w:spacing w:val="-2"/>
        </w:rPr>
        <w:t xml:space="preserve">10 </w:t>
      </w:r>
      <w:r>
        <w:rPr>
          <w:spacing w:val="-2"/>
        </w:rPr>
        <w:t>am and at any adjournment thereof.</w:t>
      </w:r>
    </w:p>
    <w:p w:rsidR="0041563E" w:rsidRDefault="0041563E" w:rsidP="0041563E">
      <w:pPr>
        <w:widowControl w:val="0"/>
        <w:tabs>
          <w:tab w:val="left" w:pos="4320"/>
        </w:tabs>
        <w:spacing w:after="0"/>
        <w:rPr>
          <w:spacing w:val="-2"/>
        </w:rPr>
      </w:pPr>
    </w:p>
    <w:p w:rsidR="0041563E" w:rsidRDefault="0041563E" w:rsidP="0041563E">
      <w:pPr>
        <w:widowControl w:val="0"/>
        <w:tabs>
          <w:tab w:val="left" w:pos="990"/>
        </w:tabs>
        <w:spacing w:after="0"/>
        <w:rPr>
          <w:spacing w:val="-2"/>
        </w:rPr>
      </w:pPr>
      <w:r>
        <w:rPr>
          <w:spacing w:val="-2"/>
        </w:rPr>
        <w:t>Name:</w:t>
      </w:r>
      <w:r>
        <w:rPr>
          <w:spacing w:val="-2"/>
        </w:rPr>
        <w:tab/>
        <w:t>........................................................</w:t>
      </w: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r>
        <w:rPr>
          <w:spacing w:val="-2"/>
        </w:rPr>
        <w:t>Address:</w:t>
      </w:r>
      <w:r>
        <w:rPr>
          <w:spacing w:val="-2"/>
        </w:rPr>
        <w:tab/>
        <w:t>........................................................</w:t>
      </w: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r>
        <w:rPr>
          <w:spacing w:val="-2"/>
        </w:rPr>
        <w:tab/>
        <w:t>…….…………………………………</w:t>
      </w: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r>
        <w:rPr>
          <w:spacing w:val="-2"/>
        </w:rPr>
        <w:tab/>
        <w:t>…….…………………………………</w:t>
      </w: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r>
        <w:rPr>
          <w:spacing w:val="-2"/>
        </w:rPr>
        <w:t>Post Code</w:t>
      </w:r>
      <w:r>
        <w:rPr>
          <w:spacing w:val="-2"/>
        </w:rPr>
        <w:tab/>
        <w:t>…..………………………………......</w:t>
      </w: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r>
        <w:rPr>
          <w:spacing w:val="-2"/>
        </w:rPr>
        <w:t>Account Number: .............................................</w:t>
      </w: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r>
        <w:rPr>
          <w:spacing w:val="-2"/>
        </w:rPr>
        <w:t>Number of Units: ……………………</w:t>
      </w: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p>
    <w:p w:rsidR="0041563E" w:rsidRDefault="0041563E" w:rsidP="0041563E">
      <w:pPr>
        <w:widowControl w:val="0"/>
        <w:tabs>
          <w:tab w:val="left" w:pos="990"/>
        </w:tabs>
        <w:spacing w:after="0"/>
        <w:rPr>
          <w:spacing w:val="-2"/>
        </w:rPr>
      </w:pPr>
      <w:r>
        <w:rPr>
          <w:spacing w:val="-2"/>
        </w:rPr>
        <w:t>Designation: …………………………………….</w:t>
      </w:r>
    </w:p>
    <w:p w:rsidR="0041563E" w:rsidRDefault="0041563E" w:rsidP="0041563E">
      <w:pPr>
        <w:widowControl w:val="0"/>
        <w:spacing w:after="0"/>
        <w:rPr>
          <w:spacing w:val="-2"/>
        </w:rPr>
      </w:pPr>
    </w:p>
    <w:p w:rsidR="0041563E" w:rsidRPr="006A1942" w:rsidRDefault="0041563E" w:rsidP="0041563E">
      <w:pPr>
        <w:widowControl w:val="0"/>
        <w:spacing w:after="0"/>
        <w:rPr>
          <w:spacing w:val="-2"/>
        </w:rPr>
      </w:pPr>
      <w:r>
        <w:rPr>
          <w:spacing w:val="-2"/>
        </w:rPr>
        <w:t xml:space="preserve">I/We being a Unitholder/s of the Fund hereby appoint the Chairman of the Meeting or .................................................................................. </w:t>
      </w:r>
      <w:r>
        <w:rPr>
          <w:spacing w:val="-2"/>
          <w:sz w:val="16"/>
        </w:rPr>
        <w:t>(see Note 1)</w:t>
      </w:r>
      <w:r>
        <w:rPr>
          <w:spacing w:val="-2"/>
        </w:rPr>
        <w:t xml:space="preserve"> to act as my/our proxy at the Meeting of Unitholders to be held </w:t>
      </w:r>
      <w:r w:rsidRPr="00720242">
        <w:rPr>
          <w:spacing w:val="-2"/>
        </w:rPr>
        <w:t xml:space="preserve">on </w:t>
      </w:r>
      <w:r w:rsidR="003F1DE3">
        <w:rPr>
          <w:spacing w:val="-2"/>
        </w:rPr>
        <w:t>27 November</w:t>
      </w:r>
      <w:r w:rsidRPr="00720242">
        <w:rPr>
          <w:spacing w:val="-2"/>
        </w:rPr>
        <w:t xml:space="preserve"> </w:t>
      </w:r>
      <w:r>
        <w:rPr>
          <w:spacing w:val="-2"/>
        </w:rPr>
        <w:t>2014</w:t>
      </w:r>
      <w:r w:rsidRPr="00720242">
        <w:rPr>
          <w:spacing w:val="-2"/>
        </w:rPr>
        <w:t xml:space="preserve"> (and</w:t>
      </w:r>
      <w:r>
        <w:rPr>
          <w:spacing w:val="-2"/>
        </w:rPr>
        <w:t xml:space="preserve"> at any adjournment thereof) and to attend and vote on a </w:t>
      </w:r>
      <w:r w:rsidRPr="006A1942">
        <w:rPr>
          <w:spacing w:val="-2"/>
        </w:rPr>
        <w:t xml:space="preserve">poll for me/us and in my/our name(s) on the Extraordinary Resolution set out in the Notice of Meeting dated </w:t>
      </w:r>
      <w:r w:rsidR="000D6CA7" w:rsidRPr="006A1942">
        <w:rPr>
          <w:spacing w:val="-2"/>
        </w:rPr>
        <w:t>1</w:t>
      </w:r>
      <w:r w:rsidR="006A1942" w:rsidRPr="006A1942">
        <w:rPr>
          <w:spacing w:val="-2"/>
        </w:rPr>
        <w:t>2</w:t>
      </w:r>
      <w:r w:rsidR="004E5B87" w:rsidRPr="006A1942">
        <w:rPr>
          <w:spacing w:val="-2"/>
        </w:rPr>
        <w:t xml:space="preserve"> November</w:t>
      </w:r>
      <w:r w:rsidRPr="006A1942">
        <w:rPr>
          <w:spacing w:val="-2"/>
        </w:rPr>
        <w:t xml:space="preserve"> 2014 as indicated below.  </w:t>
      </w:r>
    </w:p>
    <w:p w:rsidR="0041563E" w:rsidRPr="006A1942" w:rsidRDefault="0041563E" w:rsidP="0041563E">
      <w:pPr>
        <w:widowControl w:val="0"/>
        <w:spacing w:after="0"/>
        <w:ind w:left="2160" w:hanging="2160"/>
        <w:jc w:val="center"/>
        <w:rPr>
          <w:b/>
          <w:spacing w:val="-2"/>
        </w:rPr>
      </w:pPr>
    </w:p>
    <w:p w:rsidR="0041563E" w:rsidRPr="006A1942" w:rsidRDefault="0041563E" w:rsidP="0041563E">
      <w:pPr>
        <w:widowControl w:val="0"/>
        <w:spacing w:after="0"/>
        <w:ind w:left="2160" w:hanging="2160"/>
        <w:jc w:val="center"/>
        <w:rPr>
          <w:b/>
          <w:spacing w:val="-2"/>
        </w:rPr>
      </w:pPr>
    </w:p>
    <w:p w:rsidR="0041563E" w:rsidRPr="006A1942" w:rsidRDefault="0041563E" w:rsidP="0041563E">
      <w:pPr>
        <w:widowControl w:val="0"/>
        <w:spacing w:after="0"/>
        <w:ind w:left="2160" w:hanging="2160"/>
        <w:jc w:val="center"/>
        <w:rPr>
          <w:b/>
          <w:spacing w:val="-2"/>
          <w:sz w:val="22"/>
          <w:szCs w:val="22"/>
        </w:rPr>
      </w:pPr>
      <w:r w:rsidRPr="006A1942">
        <w:rPr>
          <w:b/>
          <w:spacing w:val="-2"/>
          <w:sz w:val="22"/>
          <w:szCs w:val="22"/>
        </w:rPr>
        <w:t>EXTRAORDINARY RESOLUTION:</w:t>
      </w:r>
    </w:p>
    <w:p w:rsidR="0041563E" w:rsidRPr="006A1942" w:rsidRDefault="0041563E" w:rsidP="0041563E">
      <w:pPr>
        <w:widowControl w:val="0"/>
        <w:spacing w:after="0"/>
        <w:ind w:left="2160" w:hanging="2160"/>
        <w:jc w:val="center"/>
        <w:rPr>
          <w:b/>
          <w:spacing w:val="-2"/>
        </w:rPr>
      </w:pPr>
    </w:p>
    <w:p w:rsidR="0041563E" w:rsidRDefault="0041563E" w:rsidP="00915B9D">
      <w:pPr>
        <w:widowControl w:val="0"/>
        <w:spacing w:after="0"/>
        <w:rPr>
          <w:spacing w:val="-2"/>
        </w:rPr>
      </w:pPr>
      <w:r w:rsidRPr="006A1942">
        <w:t>THAT the Scheme of Arrangement of the Fund (“</w:t>
      </w:r>
      <w:r w:rsidRPr="006A1942">
        <w:rPr>
          <w:b/>
        </w:rPr>
        <w:t>Scheme</w:t>
      </w:r>
      <w:r w:rsidRPr="006A1942">
        <w:t xml:space="preserve">”) contained in a document dated </w:t>
      </w:r>
      <w:r w:rsidR="000D6CA7" w:rsidRPr="006A1942">
        <w:rPr>
          <w:spacing w:val="-2"/>
        </w:rPr>
        <w:t>1</w:t>
      </w:r>
      <w:r w:rsidR="006A1942" w:rsidRPr="006A1942">
        <w:rPr>
          <w:spacing w:val="-2"/>
        </w:rPr>
        <w:t>2</w:t>
      </w:r>
      <w:r w:rsidR="004E5B87" w:rsidRPr="006A1942">
        <w:rPr>
          <w:spacing w:val="-2"/>
        </w:rPr>
        <w:t xml:space="preserve"> November</w:t>
      </w:r>
      <w:r w:rsidRPr="006A1942">
        <w:rPr>
          <w:spacing w:val="-2"/>
        </w:rPr>
        <w:t xml:space="preserve"> 2014 </w:t>
      </w:r>
      <w:r w:rsidRPr="006A1942">
        <w:t xml:space="preserve">and addressed by </w:t>
      </w:r>
      <w:r w:rsidRPr="006A1942">
        <w:rPr>
          <w:spacing w:val="-2"/>
        </w:rPr>
        <w:t xml:space="preserve">Old Mutual Investment Management Limited </w:t>
      </w:r>
      <w:r w:rsidRPr="006A1942">
        <w:t>to the Unitholders in the Fund (the “</w:t>
      </w:r>
      <w:r w:rsidRPr="006A1942">
        <w:rPr>
          <w:b/>
        </w:rPr>
        <w:t>Circular</w:t>
      </w:r>
      <w:r w:rsidRPr="006A1942">
        <w:t>”) (a copy of which has been produced to the meeting</w:t>
      </w:r>
      <w:r>
        <w:t xml:space="preserve"> and initialled by the Chairman for the purpose of identification) </w:t>
      </w:r>
      <w:r>
        <w:rPr>
          <w:spacing w:val="-2"/>
        </w:rPr>
        <w:t xml:space="preserve">be and the same is hereby approved and accordingly that National Westminster Bank Plc as </w:t>
      </w:r>
      <w:r w:rsidR="00915B9D">
        <w:rPr>
          <w:spacing w:val="-2"/>
        </w:rPr>
        <w:t xml:space="preserve">trustee </w:t>
      </w:r>
      <w:r>
        <w:rPr>
          <w:spacing w:val="-2"/>
        </w:rPr>
        <w:t xml:space="preserve">of the Fund and </w:t>
      </w:r>
      <w:r w:rsidR="00915B9D">
        <w:rPr>
          <w:spacing w:val="-2"/>
        </w:rPr>
        <w:t xml:space="preserve">Old Mutual Investment Management Limited </w:t>
      </w:r>
      <w:r>
        <w:rPr>
          <w:spacing w:val="-2"/>
        </w:rPr>
        <w:t xml:space="preserve">as </w:t>
      </w:r>
      <w:r w:rsidR="000C4649">
        <w:rPr>
          <w:spacing w:val="-2"/>
        </w:rPr>
        <w:t>m</w:t>
      </w:r>
      <w:r w:rsidR="00915B9D">
        <w:rPr>
          <w:spacing w:val="-2"/>
        </w:rPr>
        <w:t>anager</w:t>
      </w:r>
      <w:r>
        <w:rPr>
          <w:spacing w:val="-2"/>
        </w:rPr>
        <w:t xml:space="preserve"> of the Fund respectively be and they are hereby authorised to implement and give effect to the said Scheme subject to satisfaction or waiver (as appropriate) of the conditions set out in the Circular and to the exclusion of any contrary provision in the documents governing the Fund</w:t>
      </w:r>
    </w:p>
    <w:p w:rsidR="0041563E" w:rsidRDefault="0041563E" w:rsidP="0041563E">
      <w:pPr>
        <w:widowControl w:val="0"/>
        <w:spacing w:after="0"/>
        <w:rPr>
          <w:spacing w:val="-2"/>
        </w:rPr>
      </w:pPr>
    </w:p>
    <w:p w:rsidR="0041563E" w:rsidRDefault="00A2575A" w:rsidP="0041563E">
      <w:pPr>
        <w:widowControl w:val="0"/>
        <w:spacing w:after="0"/>
        <w:rPr>
          <w:spacing w:val="-2"/>
        </w:rPr>
      </w:pPr>
      <w:r>
        <w:rPr>
          <w:noProof/>
          <w:lang w:eastAsia="en-GB"/>
        </w:rPr>
        <mc:AlternateContent>
          <mc:Choice Requires="wps">
            <w:drawing>
              <wp:anchor distT="0" distB="0" distL="114300" distR="114300" simplePos="0" relativeHeight="251660288" behindDoc="0" locked="0" layoutInCell="1" allowOverlap="1" wp14:anchorId="620E49B4" wp14:editId="592E754D">
                <wp:simplePos x="0" y="0"/>
                <wp:positionH relativeFrom="column">
                  <wp:posOffset>3442335</wp:posOffset>
                </wp:positionH>
                <wp:positionV relativeFrom="paragraph">
                  <wp:posOffset>16510</wp:posOffset>
                </wp:positionV>
                <wp:extent cx="91440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247CB" w:rsidRDefault="00E247CB" w:rsidP="00415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05pt;margin-top:1.3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">
                <v:textbox>
                  <w:txbxContent>
                    <w:p w:rsidR="00980253" w:rsidRDefault="00980253" w:rsidP="0041563E"/>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656EEED" wp14:editId="3018DFC7">
                <wp:simplePos x="0" y="0"/>
                <wp:positionH relativeFrom="column">
                  <wp:posOffset>1537335</wp:posOffset>
                </wp:positionH>
                <wp:positionV relativeFrom="paragraph">
                  <wp:posOffset>16510</wp:posOffset>
                </wp:positionV>
                <wp:extent cx="9144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247CB" w:rsidRDefault="00E247CB" w:rsidP="00415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1.05pt;margin-top:1.3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">
                <v:textbox>
                  <w:txbxContent>
                    <w:p w:rsidR="00980253" w:rsidRDefault="00980253" w:rsidP="0041563E"/>
                  </w:txbxContent>
                </v:textbox>
              </v:shape>
            </w:pict>
          </mc:Fallback>
        </mc:AlternateContent>
      </w:r>
    </w:p>
    <w:p w:rsidR="0041563E" w:rsidRDefault="0041563E" w:rsidP="0041563E">
      <w:pPr>
        <w:widowControl w:val="0"/>
        <w:spacing w:after="0"/>
        <w:rPr>
          <w:spacing w:val="-2"/>
        </w:rPr>
      </w:pPr>
      <w:r>
        <w:rPr>
          <w:spacing w:val="-2"/>
        </w:rPr>
        <w:tab/>
      </w:r>
      <w:r>
        <w:rPr>
          <w:spacing w:val="-2"/>
        </w:rPr>
        <w:tab/>
      </w:r>
      <w:r>
        <w:rPr>
          <w:b/>
          <w:spacing w:val="-2"/>
        </w:rPr>
        <w:t>FOR</w:t>
      </w:r>
      <w:r>
        <w:rPr>
          <w:b/>
          <w:spacing w:val="-2"/>
        </w:rPr>
        <w:tab/>
      </w:r>
      <w:r>
        <w:rPr>
          <w:b/>
          <w:spacing w:val="-2"/>
        </w:rPr>
        <w:tab/>
      </w:r>
      <w:r>
        <w:rPr>
          <w:b/>
          <w:spacing w:val="-2"/>
        </w:rPr>
        <w:tab/>
      </w:r>
      <w:r>
        <w:rPr>
          <w:b/>
          <w:spacing w:val="-2"/>
        </w:rPr>
        <w:tab/>
        <w:t>AGAINST</w:t>
      </w:r>
      <w:r>
        <w:rPr>
          <w:b/>
          <w:spacing w:val="-2"/>
        </w:rPr>
        <w:tab/>
      </w:r>
      <w:r>
        <w:rPr>
          <w:b/>
          <w:spacing w:val="-2"/>
        </w:rPr>
        <w:tab/>
      </w:r>
      <w:r>
        <w:rPr>
          <w:b/>
          <w:spacing w:val="-2"/>
        </w:rPr>
        <w:tab/>
      </w:r>
      <w:r>
        <w:rPr>
          <w:spacing w:val="-2"/>
          <w:sz w:val="16"/>
        </w:rPr>
        <w:t>(see Notes 2 and 3)</w:t>
      </w:r>
    </w:p>
    <w:p w:rsidR="0041563E" w:rsidRPr="00BC387B" w:rsidRDefault="0041563E" w:rsidP="0041563E">
      <w:pPr>
        <w:widowControl w:val="0"/>
        <w:spacing w:after="0"/>
        <w:rPr>
          <w:b/>
          <w:spacing w:val="-2"/>
        </w:rPr>
      </w:pPr>
    </w:p>
    <w:p w:rsidR="0041563E" w:rsidRDefault="0041563E" w:rsidP="0041563E">
      <w:pPr>
        <w:widowControl w:val="0"/>
        <w:spacing w:after="0"/>
        <w:jc w:val="center"/>
        <w:rPr>
          <w:b/>
          <w:bCs/>
          <w:spacing w:val="-2"/>
        </w:rPr>
      </w:pPr>
    </w:p>
    <w:p w:rsidR="0041563E" w:rsidRDefault="0041563E" w:rsidP="0041563E">
      <w:pPr>
        <w:widowControl w:val="0"/>
        <w:spacing w:after="0"/>
        <w:rPr>
          <w:spacing w:val="-2"/>
        </w:rPr>
      </w:pPr>
    </w:p>
    <w:p w:rsidR="0041563E" w:rsidRDefault="0041563E" w:rsidP="0041563E">
      <w:pPr>
        <w:widowControl w:val="0"/>
        <w:tabs>
          <w:tab w:val="left" w:pos="1260"/>
          <w:tab w:val="left" w:pos="4320"/>
          <w:tab w:val="left" w:pos="5040"/>
        </w:tabs>
        <w:spacing w:after="0"/>
        <w:rPr>
          <w:spacing w:val="-2"/>
        </w:rPr>
      </w:pPr>
      <w:r>
        <w:rPr>
          <w:spacing w:val="-2"/>
        </w:rPr>
        <w:t>Signature(s):</w:t>
      </w:r>
      <w:r>
        <w:rPr>
          <w:spacing w:val="-2"/>
        </w:rPr>
        <w:tab/>
        <w:t>.....................................................</w:t>
      </w:r>
      <w:r>
        <w:rPr>
          <w:spacing w:val="-2"/>
        </w:rPr>
        <w:tab/>
        <w:t>Dated:</w:t>
      </w:r>
      <w:r>
        <w:rPr>
          <w:spacing w:val="-2"/>
        </w:rPr>
        <w:tab/>
        <w:t>...........................................................</w:t>
      </w:r>
    </w:p>
    <w:p w:rsidR="0041563E" w:rsidRDefault="0041563E" w:rsidP="0041563E">
      <w:pPr>
        <w:widowControl w:val="0"/>
        <w:tabs>
          <w:tab w:val="left" w:pos="1260"/>
          <w:tab w:val="left" w:pos="5220"/>
        </w:tabs>
        <w:spacing w:after="0"/>
        <w:rPr>
          <w:spacing w:val="-2"/>
        </w:rPr>
      </w:pPr>
    </w:p>
    <w:p w:rsidR="0041563E" w:rsidRDefault="0041563E" w:rsidP="0041563E">
      <w:pPr>
        <w:widowControl w:val="0"/>
        <w:tabs>
          <w:tab w:val="left" w:pos="1260"/>
          <w:tab w:val="left" w:pos="5040"/>
          <w:tab w:val="left" w:pos="5220"/>
        </w:tabs>
        <w:spacing w:after="0"/>
        <w:rPr>
          <w:spacing w:val="-2"/>
        </w:rPr>
      </w:pPr>
      <w:r>
        <w:rPr>
          <w:spacing w:val="-2"/>
        </w:rPr>
        <w:tab/>
        <w:t>.....................................................</w:t>
      </w:r>
      <w:r>
        <w:rPr>
          <w:spacing w:val="-2"/>
        </w:rPr>
        <w:tab/>
        <w:t>...........................................................</w:t>
      </w:r>
    </w:p>
    <w:p w:rsidR="0041563E" w:rsidRDefault="0041563E" w:rsidP="0041563E">
      <w:pPr>
        <w:widowControl w:val="0"/>
        <w:tabs>
          <w:tab w:val="left" w:pos="5220"/>
        </w:tabs>
        <w:spacing w:after="0"/>
        <w:rPr>
          <w:spacing w:val="-2"/>
          <w:sz w:val="16"/>
        </w:rPr>
      </w:pPr>
      <w:r>
        <w:rPr>
          <w:spacing w:val="-2"/>
        </w:rPr>
        <w:tab/>
      </w:r>
      <w:r>
        <w:rPr>
          <w:spacing w:val="-2"/>
        </w:rPr>
        <w:tab/>
      </w:r>
    </w:p>
    <w:p w:rsidR="0041563E" w:rsidRDefault="0041563E" w:rsidP="0041563E">
      <w:pPr>
        <w:widowControl w:val="0"/>
        <w:spacing w:after="0"/>
        <w:rPr>
          <w:spacing w:val="-2"/>
        </w:rPr>
      </w:pPr>
    </w:p>
    <w:p w:rsidR="0041563E" w:rsidRDefault="0041563E" w:rsidP="0041563E">
      <w:pPr>
        <w:widowControl w:val="0"/>
        <w:spacing w:after="0"/>
        <w:rPr>
          <w:spacing w:val="-2"/>
        </w:rPr>
      </w:pPr>
      <w:r>
        <w:rPr>
          <w:spacing w:val="-2"/>
        </w:rPr>
        <w:t>Please return to:</w:t>
      </w:r>
    </w:p>
    <w:p w:rsidR="0041563E" w:rsidRDefault="0041563E" w:rsidP="0041563E">
      <w:pPr>
        <w:widowControl w:val="0"/>
        <w:spacing w:after="0"/>
      </w:pPr>
      <w:r>
        <w:t>Old Mutual Investment Management</w:t>
      </w:r>
      <w:r w:rsidRPr="00FC5549">
        <w:t xml:space="preserve"> Limited, </w:t>
      </w:r>
      <w:r>
        <w:t>Millennium Bridge House, 2 Lambeth</w:t>
      </w:r>
      <w:r w:rsidR="008F75A6">
        <w:t xml:space="preserve"> Hill, London, EC4V 4AJ</w:t>
      </w:r>
    </w:p>
    <w:p w:rsidR="0041563E" w:rsidRDefault="0041563E" w:rsidP="0041563E">
      <w:pPr>
        <w:widowControl w:val="0"/>
        <w:spacing w:after="0"/>
      </w:pPr>
    </w:p>
    <w:p w:rsidR="0041563E" w:rsidRDefault="0041563E" w:rsidP="0041563E">
      <w:pPr>
        <w:widowControl w:val="0"/>
        <w:spacing w:after="0"/>
      </w:pPr>
    </w:p>
    <w:p w:rsidR="004E5B87" w:rsidRDefault="004E5B87" w:rsidP="0041563E">
      <w:pPr>
        <w:widowControl w:val="0"/>
        <w:spacing w:after="0"/>
        <w:rPr>
          <w:b/>
          <w:spacing w:val="-2"/>
        </w:rPr>
      </w:pPr>
    </w:p>
    <w:p w:rsidR="0041563E" w:rsidRDefault="0041563E" w:rsidP="0041563E">
      <w:pPr>
        <w:widowControl w:val="0"/>
        <w:spacing w:after="0"/>
        <w:rPr>
          <w:spacing w:val="-2"/>
        </w:rPr>
      </w:pPr>
      <w:r>
        <w:rPr>
          <w:b/>
          <w:spacing w:val="-2"/>
        </w:rPr>
        <w:lastRenderedPageBreak/>
        <w:t>NOTES:</w:t>
      </w:r>
    </w:p>
    <w:p w:rsidR="0041563E" w:rsidRDefault="0041563E" w:rsidP="0041563E">
      <w:pPr>
        <w:widowControl w:val="0"/>
        <w:spacing w:after="0"/>
      </w:pPr>
    </w:p>
    <w:p w:rsidR="0041563E" w:rsidRDefault="0041563E" w:rsidP="000D64DC">
      <w:pPr>
        <w:pStyle w:val="MacLevel1"/>
        <w:numPr>
          <w:ilvl w:val="1"/>
          <w:numId w:val="27"/>
        </w:numPr>
      </w:pPr>
      <w:r w:rsidRPr="00D90D31">
        <w:t xml:space="preserve">If you wish to appoint someone other than the Chairman of the Meeting please delete </w:t>
      </w:r>
      <w:r>
        <w:t>“</w:t>
      </w:r>
      <w:r w:rsidRPr="00D90D31">
        <w:t>the Chairman of the Meeting or</w:t>
      </w:r>
      <w:r>
        <w:t>”</w:t>
      </w:r>
      <w:r w:rsidRPr="00D90D31">
        <w:t xml:space="preserve"> and insert in the place provided the name and address of your appointee.  A proxy need not be a </w:t>
      </w:r>
      <w:r w:rsidR="008F75A6">
        <w:t>Unit</w:t>
      </w:r>
      <w:r>
        <w:t>holder</w:t>
      </w:r>
      <w:r w:rsidRPr="00D90D31">
        <w:t xml:space="preserve"> but must attend the Meeting or any adjourned Meeting in person to represent you.  The amendment must be initialled.</w:t>
      </w:r>
    </w:p>
    <w:p w:rsidR="0041563E" w:rsidRPr="00D90D31" w:rsidRDefault="0041563E" w:rsidP="00915B9D">
      <w:pPr>
        <w:pStyle w:val="MacLevel1"/>
        <w:numPr>
          <w:ilvl w:val="1"/>
          <w:numId w:val="27"/>
        </w:numPr>
      </w:pPr>
      <w:r w:rsidRPr="00D90D31">
        <w:t>Please indicate with a cross in the appropriate box above how you wish your votes to be cast in respect of the Resolution</w:t>
      </w:r>
      <w:r>
        <w:t>.</w:t>
      </w:r>
      <w:r w:rsidRPr="00D90D31">
        <w:t xml:space="preserve"> If you do not do so your proxy will vote or abstain at his discretion.  If you</w:t>
      </w:r>
      <w:r>
        <w:t xml:space="preserve"> are acting as a nominee holder of </w:t>
      </w:r>
      <w:r w:rsidR="00915B9D">
        <w:t>U</w:t>
      </w:r>
      <w:r w:rsidR="008F75A6">
        <w:t>nits</w:t>
      </w:r>
      <w:r>
        <w:t xml:space="preserve"> and</w:t>
      </w:r>
      <w:r w:rsidRPr="00D90D31">
        <w:t xml:space="preserve"> wish your votes to be split please indicate in each box how many </w:t>
      </w:r>
      <w:r w:rsidR="008F75A6">
        <w:t>Units</w:t>
      </w:r>
      <w:r w:rsidRPr="00D90D31">
        <w:t xml:space="preserve"> are being voted for the Resolution and how many are being voted against the Resolution.</w:t>
      </w:r>
    </w:p>
    <w:p w:rsidR="0041563E" w:rsidRPr="00D90D31" w:rsidRDefault="0041563E" w:rsidP="000D64DC">
      <w:pPr>
        <w:pStyle w:val="MacLevel1"/>
        <w:numPr>
          <w:ilvl w:val="1"/>
          <w:numId w:val="27"/>
        </w:numPr>
      </w:pPr>
      <w:r w:rsidRPr="00D90D31">
        <w:t>In the case of a corporate body this Form of Proxy must be executed under seal or under the hand of an officer or attorney authorised in writing to sign on its behalf.</w:t>
      </w:r>
    </w:p>
    <w:p w:rsidR="0041563E" w:rsidRPr="00D90D31" w:rsidRDefault="0041563E" w:rsidP="000D64DC">
      <w:pPr>
        <w:pStyle w:val="MacLevel1"/>
        <w:numPr>
          <w:ilvl w:val="1"/>
          <w:numId w:val="27"/>
        </w:numPr>
      </w:pPr>
      <w:r w:rsidRPr="00D90D31">
        <w:t xml:space="preserve">In the case of joint </w:t>
      </w:r>
      <w:r w:rsidR="008F75A6">
        <w:t>Unit</w:t>
      </w:r>
      <w:r>
        <w:t>holders</w:t>
      </w:r>
      <w:r w:rsidRPr="00D90D31">
        <w:t xml:space="preserve">, any such </w:t>
      </w:r>
      <w:r w:rsidR="008F75A6">
        <w:t>Unit</w:t>
      </w:r>
      <w:r>
        <w:t>holder</w:t>
      </w:r>
      <w:r w:rsidRPr="00D90D31">
        <w:t xml:space="preserve"> may sign but, in the event of more than one tendering votes, the votes of the </w:t>
      </w:r>
      <w:r w:rsidR="008F75A6">
        <w:t>Unit</w:t>
      </w:r>
      <w:r>
        <w:t>holder</w:t>
      </w:r>
      <w:r w:rsidRPr="00D90D31">
        <w:t xml:space="preserve"> whose name stands first in the Register of </w:t>
      </w:r>
      <w:r w:rsidR="008F75A6">
        <w:t>Unit</w:t>
      </w:r>
      <w:r>
        <w:t>holders</w:t>
      </w:r>
      <w:r w:rsidRPr="00D90D31">
        <w:t xml:space="preserve"> will be accepted to the exclusion of the others.</w:t>
      </w:r>
    </w:p>
    <w:p w:rsidR="0041563E" w:rsidRPr="00D90D31" w:rsidRDefault="0041563E" w:rsidP="000D64DC">
      <w:pPr>
        <w:pStyle w:val="MacLevel1"/>
        <w:numPr>
          <w:ilvl w:val="1"/>
          <w:numId w:val="27"/>
        </w:numPr>
      </w:pPr>
      <w:r w:rsidRPr="00D90D31">
        <w:t>To be valid, this Form of Proxy must be completed and together with any power of attorney or other authority under which it is signed (or a copy thereof certified by a solicitor), must be lodged at the address printed on it at least 48 hours before the time of the Meeting</w:t>
      </w:r>
      <w:r w:rsidR="00F94E48">
        <w:t xml:space="preserve"> </w:t>
      </w:r>
      <w:r w:rsidR="00F94E48" w:rsidRPr="00F94E48">
        <w:t>or any adjourned Meeting</w:t>
      </w:r>
      <w:r w:rsidRPr="00D90D31">
        <w:t>.</w:t>
      </w:r>
    </w:p>
    <w:p w:rsidR="0041563E" w:rsidRPr="00D90D31" w:rsidRDefault="0041563E" w:rsidP="000D64DC">
      <w:pPr>
        <w:pStyle w:val="MacLevel1"/>
        <w:numPr>
          <w:ilvl w:val="1"/>
          <w:numId w:val="27"/>
        </w:numPr>
      </w:pPr>
      <w:r w:rsidRPr="00D90D31">
        <w:t>Appointing a proxy does not preclude you from attending and voting in person at the meeting</w:t>
      </w:r>
      <w:r w:rsidR="00F94E48">
        <w:t xml:space="preserve"> </w:t>
      </w:r>
      <w:r w:rsidR="00F94E48" w:rsidRPr="00F94E48">
        <w:t>or any adjourned meeting</w:t>
      </w:r>
      <w:r w:rsidRPr="00D90D31">
        <w:t>.</w:t>
      </w:r>
    </w:p>
    <w:p w:rsidR="0041563E" w:rsidRDefault="0041563E" w:rsidP="000D64DC">
      <w:pPr>
        <w:pStyle w:val="MacLevel1"/>
        <w:numPr>
          <w:ilvl w:val="1"/>
          <w:numId w:val="27"/>
        </w:numPr>
      </w:pPr>
      <w:r w:rsidRPr="00CB586A">
        <w:t xml:space="preserve">To allow effective constitution of the Meeting, if it is apparent to the Chairman that no </w:t>
      </w:r>
      <w:r w:rsidR="008F75A6">
        <w:t>Unit</w:t>
      </w:r>
      <w:r>
        <w:t>holders</w:t>
      </w:r>
      <w:r w:rsidRPr="00CB586A">
        <w:t xml:space="preserve"> will be present in person or by Proxy other than by proxy in the Chairman’s favour, then the Chairman may appoint a substitute to act as proxy in his stead for any </w:t>
      </w:r>
      <w:r w:rsidR="008F75A6">
        <w:t>Unit</w:t>
      </w:r>
      <w:r>
        <w:t>holder</w:t>
      </w:r>
      <w:r w:rsidRPr="00CB586A">
        <w:t xml:space="preserve"> provided that such substitute proxy shall vote on the same basis as the Chairman would have voted.</w:t>
      </w:r>
    </w:p>
    <w:p w:rsidR="0041563E" w:rsidRPr="00BA3CDB" w:rsidRDefault="0041563E" w:rsidP="0041563E">
      <w:pPr>
        <w:pStyle w:val="MacLevel1"/>
        <w:numPr>
          <w:ilvl w:val="0"/>
          <w:numId w:val="0"/>
        </w:numPr>
        <w:spacing w:after="0"/>
        <w:ind w:left="1530" w:hanging="1440"/>
      </w:pPr>
    </w:p>
    <w:p w:rsidR="00C056CF" w:rsidRPr="00C056CF" w:rsidRDefault="00C056CF" w:rsidP="00C056CF">
      <w:pPr>
        <w:widowControl w:val="0"/>
        <w:spacing w:after="0"/>
        <w:rPr>
          <w:b/>
          <w:spacing w:val="-2"/>
        </w:rPr>
      </w:pPr>
    </w:p>
    <w:sectPr w:rsidR="00C056CF" w:rsidRPr="00C056CF" w:rsidSect="00281983">
      <w:headerReference w:type="even" r:id="rId16"/>
      <w:headerReference w:type="default" r:id="rId17"/>
      <w:footerReference w:type="even" r:id="rId18"/>
      <w:footerReference w:type="default" r:id="rId19"/>
      <w:headerReference w:type="first" r:id="rId20"/>
      <w:footerReference w:type="first" r:id="rId21"/>
      <w:pgSz w:w="11918" w:h="16854"/>
      <w:pgMar w:top="1440" w:right="1468" w:bottom="1440" w:left="1440" w:header="720" w:footer="720" w:gutter="0"/>
      <w:paperSrc w:first="7" w:other="7"/>
      <w:cols w:space="720"/>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644">
      <wne:macro wne:macroName="MACFARLANESGLOBAL2010.MODGLOBALSHORTCUTS.INSERTDATETIMEASTEXTINDO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69" w:rsidRPr="002D3929" w:rsidRDefault="00F22069" w:rsidP="00416A25">
      <w:r w:rsidRPr="002D3929">
        <w:separator/>
      </w:r>
    </w:p>
  </w:endnote>
  <w:endnote w:type="continuationSeparator" w:id="0">
    <w:p w:rsidR="00F22069" w:rsidRPr="002D3929" w:rsidRDefault="00F22069" w:rsidP="00416A25">
      <w:r w:rsidRPr="002D3929">
        <w:continuationSeparator/>
      </w:r>
    </w:p>
  </w:endnote>
  <w:endnote w:type="continuationNotice" w:id="1">
    <w:p w:rsidR="00F22069" w:rsidRDefault="00F220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E24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Pr="00F23147" w:rsidRDefault="00E247CB" w:rsidP="00F23147">
    <w:pPr>
      <w:pStyle w:val="AgreementFooter"/>
    </w:pPr>
    <w:r>
      <w:tab/>
    </w:r>
    <w:r>
      <w:fldChar w:fldCharType="begin"/>
    </w:r>
    <w:r>
      <w:instrText xml:space="preserve"> PAGE PAGE \* arabic \* MERGEFORMAT </w:instrText>
    </w:r>
    <w:r>
      <w:fldChar w:fldCharType="separate"/>
    </w:r>
    <w:r w:rsidR="00BB634E">
      <w:rPr>
        <w:noProof/>
      </w:rPr>
      <w:t>23</w:t>
    </w:r>
    <w:r>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E247CB" w:rsidP="00F23147">
    <w:pPr>
      <w:pStyle w:val="Footer"/>
      <w:tabs>
        <w:tab w:val="clear" w:pos="4153"/>
        <w:tab w:val="clear" w:pos="8306"/>
        <w:tab w:val="center" w:pos="4515"/>
        <w:tab w:val="right" w:pos="902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E247C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Pr="006B0D7E" w:rsidRDefault="00E247CB" w:rsidP="006B0D7E">
    <w:pPr>
      <w:pStyle w:val="AgreementFooter"/>
      <w:tabs>
        <w:tab w:val="clear" w:pos="4320"/>
        <w:tab w:val="center" w:pos="4735"/>
        <w:tab w:val="left" w:pos="9470"/>
      </w:tabs>
    </w:pPr>
    <w:r>
      <w:tab/>
    </w:r>
    <w:r>
      <w:fldChar w:fldCharType="begin"/>
    </w:r>
    <w:r>
      <w:instrText xml:space="preserve"> PAGE  \* MERGEFORMAT </w:instrText>
    </w:r>
    <w:r>
      <w:fldChar w:fldCharType="separate"/>
    </w:r>
    <w:r w:rsidR="00BB634E">
      <w:rPr>
        <w:noProof/>
      </w:rPr>
      <w:t>28</w:t>
    </w:r>
    <w:r>
      <w:rPr>
        <w:noProof/>
      </w:rP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Pr="00416A25" w:rsidRDefault="00E247CB" w:rsidP="0041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69" w:rsidRPr="002D3929" w:rsidRDefault="00F22069" w:rsidP="00416A25">
      <w:r w:rsidRPr="002D3929">
        <w:separator/>
      </w:r>
    </w:p>
  </w:footnote>
  <w:footnote w:type="continuationSeparator" w:id="0">
    <w:p w:rsidR="00F22069" w:rsidRPr="002D3929" w:rsidRDefault="00F22069" w:rsidP="00416A25">
      <w:r w:rsidRPr="002D3929">
        <w:continuationSeparator/>
      </w:r>
    </w:p>
  </w:footnote>
  <w:footnote w:type="continuationNotice" w:id="1">
    <w:p w:rsidR="00F22069" w:rsidRDefault="00F2206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E2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E24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E247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E247CB">
    <w:pPr>
      <w:rPr>
        <w:sz w:val="16"/>
        <w:szCs w:val="16"/>
      </w:rPr>
    </w:pPr>
    <w:r>
      <w:rPr>
        <w:noProof/>
        <w:lang w:eastAsia="en-GB"/>
      </w:rPr>
      <mc:AlternateContent>
        <mc:Choice Requires="wps">
          <w:drawing>
            <wp:anchor distT="0" distB="0" distL="63500" distR="63500" simplePos="0" relativeHeight="251660288" behindDoc="0" locked="0" layoutInCell="0" allowOverlap="1" wp14:anchorId="227423A4" wp14:editId="5C87FC41">
              <wp:simplePos x="0" y="0"/>
              <wp:positionH relativeFrom="page">
                <wp:posOffset>749300</wp:posOffset>
              </wp:positionH>
              <wp:positionV relativeFrom="paragraph">
                <wp:posOffset>0</wp:posOffset>
              </wp:positionV>
              <wp:extent cx="6068695" cy="257810"/>
              <wp:effectExtent l="0" t="0" r="0" b="0"/>
              <wp:wrapSquare wrapText="bothSides"/>
              <wp:docPr id="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257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7CB" w:rsidRDefault="00E247CB">
                          <w:pPr>
                            <w:keepNext/>
                            <w:keepLines/>
                            <w:ind w:left="4752"/>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29</w:t>
                          </w:r>
                          <w:r>
                            <w:rPr>
                              <w:sz w:val="16"/>
                              <w:szCs w:val="16"/>
                            </w:rPr>
                            <w:fldChar w:fldCharType="end"/>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7" o:spid="_x0000_s1028" type="#_x0000_t202" style="position:absolute;left:0;text-align:left;margin-left:59pt;margin-top:0;width:477.85pt;height:20.3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" o:allowincell="f" stroked="f">
              <v:fill opacity="0"/>
              <v:textbox inset="0,0,0,0">
                <w:txbxContent>
                  <w:p w:rsidR="00075D95" w:rsidRDefault="00075D95">
                    <w:pPr>
                      <w:keepNext/>
                      <w:keepLines/>
                      <w:ind w:left="4752"/>
                      <w:rPr>
                        <w:sz w:val="16"/>
                        <w:szCs w:val="16"/>
                      </w:rPr>
                    </w:pPr>
                    <w:r>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29</w:t>
                    </w:r>
                    <w:r>
                      <w:rPr>
                        <w:sz w:val="16"/>
                        <w:szCs w:val="16"/>
                      </w:rPr>
                      <w:fldChar w:fldCharType="end"/>
                    </w:r>
                    <w:r>
                      <w:rPr>
                        <w:sz w:val="16"/>
                        <w:szCs w:val="16"/>
                      </w:rPr>
                      <w:t xml:space="preserve"> -</w:t>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Pr="006B0D7E" w:rsidRDefault="00E247CB" w:rsidP="006B0D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Pr="00416A25" w:rsidRDefault="00E247CB" w:rsidP="0041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B39"/>
    <w:multiLevelType w:val="multilevel"/>
    <w:tmpl w:val="06AE7DFA"/>
    <w:lvl w:ilvl="0">
      <w:start w:val="1"/>
      <w:numFmt w:val="none"/>
      <w:pStyle w:val="SingleScheduleHeadingTOC"/>
      <w:suff w:val="nothing"/>
      <w:lvlText w:val="the schedule"/>
      <w:lvlJc w:val="left"/>
      <w:pPr>
        <w:ind w:left="86"/>
      </w:pPr>
      <w:rPr>
        <w:rFonts w:ascii="Arial" w:hAnsi="Arial" w:cs="Times New Roman" w:hint="default"/>
        <w:b/>
        <w:i w:val="0"/>
        <w:color w:val="000000"/>
        <w:sz w:val="22"/>
      </w:rPr>
    </w:lvl>
    <w:lvl w:ilvl="1">
      <w:start w:val="1"/>
      <w:numFmt w:val="decimal"/>
      <w:suff w:val="nothing"/>
      <w:lvlText w:val="part %2"/>
      <w:lvlJc w:val="left"/>
      <w:pPr>
        <w:ind w:left="86"/>
      </w:pPr>
      <w:rPr>
        <w:rFonts w:ascii="Arial" w:hAnsi="Arial" w:cs="Times New Roman" w:hint="default"/>
        <w:b/>
        <w:i w:val="0"/>
        <w:sz w:val="22"/>
      </w:rPr>
    </w:lvl>
    <w:lvl w:ilvl="2">
      <w:start w:val="1"/>
      <w:numFmt w:val="decimal"/>
      <w:lvlRestart w:val="0"/>
      <w:lvlText w:val="%3"/>
      <w:lvlJc w:val="left"/>
      <w:pPr>
        <w:tabs>
          <w:tab w:val="num" w:pos="948"/>
        </w:tabs>
        <w:ind w:left="948" w:hanging="862"/>
      </w:pPr>
      <w:rPr>
        <w:rFonts w:ascii="Arial" w:hAnsi="Arial" w:cs="Times New Roman" w:hint="default"/>
        <w:b w:val="0"/>
        <w:i w:val="0"/>
        <w:sz w:val="20"/>
      </w:rPr>
    </w:lvl>
    <w:lvl w:ilvl="3">
      <w:start w:val="1"/>
      <w:numFmt w:val="decimal"/>
      <w:lvlText w:val="%3.%4"/>
      <w:lvlJc w:val="left"/>
      <w:pPr>
        <w:tabs>
          <w:tab w:val="num" w:pos="948"/>
        </w:tabs>
        <w:ind w:left="948" w:hanging="862"/>
      </w:pPr>
      <w:rPr>
        <w:rFonts w:ascii="Arial" w:hAnsi="Arial" w:cs="Times New Roman" w:hint="default"/>
        <w:b w:val="0"/>
        <w:i w:val="0"/>
        <w:sz w:val="20"/>
      </w:rPr>
    </w:lvl>
    <w:lvl w:ilvl="4">
      <w:start w:val="1"/>
      <w:numFmt w:val="decimal"/>
      <w:lvlText w:val="%3.%4.%5"/>
      <w:lvlJc w:val="left"/>
      <w:pPr>
        <w:tabs>
          <w:tab w:val="num" w:pos="2105"/>
        </w:tabs>
        <w:ind w:left="2105" w:hanging="1157"/>
      </w:pPr>
      <w:rPr>
        <w:rFonts w:ascii="Arial" w:hAnsi="Arial" w:cs="Times New Roman" w:hint="default"/>
        <w:sz w:val="20"/>
      </w:rPr>
    </w:lvl>
    <w:lvl w:ilvl="5">
      <w:start w:val="1"/>
      <w:numFmt w:val="decimal"/>
      <w:lvlText w:val="%3.%4.%5.%6"/>
      <w:lvlJc w:val="left"/>
      <w:pPr>
        <w:tabs>
          <w:tab w:val="num" w:pos="3545"/>
        </w:tabs>
        <w:ind w:left="3545" w:hanging="1440"/>
      </w:pPr>
      <w:rPr>
        <w:rFonts w:ascii="Arial" w:hAnsi="Arial" w:cs="Times New Roman" w:hint="default"/>
        <w:b w:val="0"/>
        <w:i w:val="0"/>
        <w:sz w:val="20"/>
      </w:rPr>
    </w:lvl>
    <w:lvl w:ilvl="6">
      <w:start w:val="1"/>
      <w:numFmt w:val="lowerRoman"/>
      <w:lvlText w:val="(%7)"/>
      <w:lvlJc w:val="left"/>
      <w:pPr>
        <w:tabs>
          <w:tab w:val="num" w:pos="4117"/>
        </w:tabs>
        <w:ind w:left="4117" w:hanging="572"/>
      </w:pPr>
      <w:rPr>
        <w:rFonts w:ascii="Arial" w:hAnsi="Arial" w:cs="Times New Roman" w:hint="default"/>
        <w:sz w:val="20"/>
      </w:rPr>
    </w:lvl>
    <w:lvl w:ilvl="7">
      <w:start w:val="1"/>
      <w:numFmt w:val="bullet"/>
      <w:lvlText w:val=""/>
      <w:lvlJc w:val="left"/>
      <w:pPr>
        <w:tabs>
          <w:tab w:val="num" w:pos="3542"/>
        </w:tabs>
        <w:ind w:left="3542" w:hanging="360"/>
      </w:pPr>
      <w:rPr>
        <w:rFonts w:ascii="Symbol" w:hAnsi="Symbol" w:hint="default"/>
      </w:rPr>
    </w:lvl>
    <w:lvl w:ilvl="8">
      <w:start w:val="1"/>
      <w:numFmt w:val="bullet"/>
      <w:lvlText w:val=""/>
      <w:lvlJc w:val="left"/>
      <w:pPr>
        <w:tabs>
          <w:tab w:val="num" w:pos="3902"/>
        </w:tabs>
        <w:ind w:left="3902" w:hanging="360"/>
      </w:pPr>
      <w:rPr>
        <w:rFonts w:ascii="Symbol" w:hAnsi="Symbol" w:hint="default"/>
      </w:rPr>
    </w:lvl>
  </w:abstractNum>
  <w:abstractNum w:abstractNumId="1">
    <w:nsid w:val="074B672D"/>
    <w:multiLevelType w:val="multilevel"/>
    <w:tmpl w:val="C1A08BD0"/>
    <w:lvl w:ilvl="0">
      <w:start w:val="1"/>
      <w:numFmt w:val="none"/>
      <w:suff w:val="nothing"/>
      <w:lvlText w:val="%1"/>
      <w:lvlJc w:val="center"/>
      <w:rPr>
        <w:rFonts w:ascii="Arial" w:hAnsi="Arial" w:cs="Times New Roman" w:hint="default"/>
        <w:b w:val="0"/>
        <w:i w:val="0"/>
        <w:sz w:val="20"/>
      </w:rPr>
    </w:lvl>
    <w:lvl w:ilvl="1">
      <w:start w:val="1"/>
      <w:numFmt w:val="decimal"/>
      <w:lvlText w:val="%1%2"/>
      <w:lvlJc w:val="left"/>
      <w:pPr>
        <w:tabs>
          <w:tab w:val="num" w:pos="864"/>
        </w:tabs>
        <w:ind w:left="864" w:hanging="864"/>
      </w:pPr>
      <w:rPr>
        <w:rFonts w:cs="Times New Roman" w:hint="default"/>
        <w:b w:val="0"/>
        <w:i w:val="0"/>
        <w:sz w:val="20"/>
      </w:rPr>
    </w:lvl>
    <w:lvl w:ilvl="2">
      <w:start w:val="1"/>
      <w:numFmt w:val="decimal"/>
      <w:lvlText w:val="%2.%3"/>
      <w:lvlJc w:val="left"/>
      <w:pPr>
        <w:tabs>
          <w:tab w:val="num" w:pos="864"/>
        </w:tabs>
        <w:ind w:left="864" w:hanging="864"/>
      </w:pPr>
      <w:rPr>
        <w:rFonts w:cs="Times New Roman" w:hint="default"/>
        <w:b w:val="0"/>
        <w:i w:val="0"/>
      </w:rPr>
    </w:lvl>
    <w:lvl w:ilvl="3">
      <w:start w:val="1"/>
      <w:numFmt w:val="decimal"/>
      <w:lvlText w:val="%2.%3.%4"/>
      <w:lvlJc w:val="left"/>
      <w:pPr>
        <w:tabs>
          <w:tab w:val="num" w:pos="2016"/>
        </w:tabs>
        <w:ind w:left="2016" w:hanging="1152"/>
      </w:pPr>
      <w:rPr>
        <w:rFonts w:cs="Times New Roman" w:hint="default"/>
        <w:b w:val="0"/>
        <w:i w:val="0"/>
      </w:rPr>
    </w:lvl>
    <w:lvl w:ilvl="4">
      <w:start w:val="1"/>
      <w:numFmt w:val="decimal"/>
      <w:lvlText w:val="%2.%3.%4.%5"/>
      <w:lvlJc w:val="left"/>
      <w:pPr>
        <w:tabs>
          <w:tab w:val="num" w:pos="3456"/>
        </w:tabs>
        <w:ind w:left="3456" w:hanging="1440"/>
      </w:pPr>
      <w:rPr>
        <w:rFonts w:cs="Times New Roman" w:hint="default"/>
        <w:b w:val="0"/>
        <w:i w:val="0"/>
      </w:rPr>
    </w:lvl>
    <w:lvl w:ilvl="5">
      <w:start w:val="1"/>
      <w:numFmt w:val="lowerRoman"/>
      <w:lvlText w:val="(%6)"/>
      <w:lvlJc w:val="left"/>
      <w:pPr>
        <w:tabs>
          <w:tab w:val="num" w:pos="4032"/>
        </w:tabs>
        <w:ind w:left="4032" w:hanging="576"/>
      </w:pPr>
      <w:rPr>
        <w:rFonts w:cs="Times New Roman" w:hint="default"/>
        <w:b w:val="0"/>
        <w:i w:val="0"/>
      </w:rPr>
    </w:lvl>
    <w:lvl w:ilvl="6">
      <w:start w:val="1"/>
      <w:numFmt w:val="lowerLetter"/>
      <w:lvlText w:val="(%7)"/>
      <w:lvlJc w:val="left"/>
      <w:pPr>
        <w:tabs>
          <w:tab w:val="num" w:pos="4464"/>
        </w:tabs>
        <w:ind w:left="4464" w:hanging="432"/>
      </w:pPr>
      <w:rPr>
        <w:rFonts w:cs="Times New Roman" w:hint="default"/>
        <w:b w:val="0"/>
        <w:i w:val="0"/>
        <w:color w:val="auto"/>
      </w:rPr>
    </w:lvl>
    <w:lvl w:ilvl="7">
      <w:start w:val="1"/>
      <w:numFmt w:val="bullet"/>
      <w:lvlText w:val=""/>
      <w:lvlJc w:val="left"/>
      <w:pPr>
        <w:tabs>
          <w:tab w:val="num" w:pos="4752"/>
        </w:tabs>
        <w:ind w:left="4752" w:hanging="288"/>
      </w:pPr>
      <w:rPr>
        <w:rFonts w:ascii="Symbol" w:hAnsi="Symbol" w:hint="default"/>
        <w:b w:val="0"/>
        <w:i w:val="0"/>
        <w:color w:val="auto"/>
      </w:rPr>
    </w:lvl>
    <w:lvl w:ilvl="8">
      <w:start w:val="1"/>
      <w:numFmt w:val="bullet"/>
      <w:lvlText w:val=""/>
      <w:lvlJc w:val="left"/>
      <w:pPr>
        <w:tabs>
          <w:tab w:val="num" w:pos="5040"/>
        </w:tabs>
        <w:ind w:left="5040" w:hanging="288"/>
      </w:pPr>
      <w:rPr>
        <w:rFonts w:ascii="Symbol" w:hAnsi="Symbol" w:hint="default"/>
        <w:b w:val="0"/>
        <w:i w:val="0"/>
        <w:color w:val="auto"/>
      </w:rPr>
    </w:lvl>
  </w:abstractNum>
  <w:abstractNum w:abstractNumId="2">
    <w:nsid w:val="096A62CD"/>
    <w:multiLevelType w:val="multilevel"/>
    <w:tmpl w:val="B442FCE0"/>
    <w:lvl w:ilvl="0">
      <w:start w:val="1"/>
      <w:numFmt w:val="decimal"/>
      <w:pStyle w:val="Heading1"/>
      <w:lvlText w:val="%1"/>
      <w:lvlJc w:val="left"/>
      <w:pPr>
        <w:tabs>
          <w:tab w:val="num" w:pos="432"/>
        </w:tabs>
        <w:ind w:left="432" w:hanging="432"/>
      </w:pPr>
      <w:rPr>
        <w:rFonts w:ascii="Times New Roman" w:hAnsi="Times New Roman" w:cs="Times New Roman" w:hint="default"/>
        <w:b w:val="0"/>
        <w:i w:val="0"/>
        <w:sz w:val="22"/>
      </w:rPr>
    </w:lvl>
    <w:lvl w:ilvl="1">
      <w:start w:val="1"/>
      <w:numFmt w:val="decimal"/>
      <w:pStyle w:val="Heading2"/>
      <w:lvlText w:val="%1.%2"/>
      <w:lvlJc w:val="left"/>
      <w:pPr>
        <w:tabs>
          <w:tab w:val="num" w:pos="576"/>
        </w:tabs>
        <w:ind w:left="576" w:hanging="576"/>
      </w:pPr>
      <w:rPr>
        <w:rFonts w:ascii="Times New Roman" w:hAnsi="Times New Roman" w:cs="Times New Roman" w:hint="default"/>
        <w:b w:val="0"/>
        <w:i w:val="0"/>
        <w:sz w:val="22"/>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lowerLetter"/>
      <w:pStyle w:val="Heading5"/>
      <w:lvlText w:val="(%5)"/>
      <w:lvlJc w:val="left"/>
      <w:pPr>
        <w:tabs>
          <w:tab w:val="num" w:pos="3600"/>
        </w:tabs>
        <w:ind w:left="3600" w:hanging="720"/>
      </w:pPr>
      <w:rPr>
        <w:rFonts w:cs="Times New Roman" w:hint="default"/>
      </w:rPr>
    </w:lvl>
    <w:lvl w:ilvl="5">
      <w:start w:val="1"/>
      <w:numFmt w:val="lowerRoman"/>
      <w:pStyle w:val="Heading6"/>
      <w:lvlText w:val="(%6)"/>
      <w:lvlJc w:val="left"/>
      <w:pPr>
        <w:tabs>
          <w:tab w:val="num" w:pos="4320"/>
        </w:tabs>
        <w:ind w:left="4320" w:hanging="720"/>
      </w:pPr>
      <w:rPr>
        <w:rFonts w:cs="Times New Roman" w:hint="default"/>
      </w:rPr>
    </w:lvl>
    <w:lvl w:ilvl="6">
      <w:start w:val="1"/>
      <w:numFmt w:val="bullet"/>
      <w:pStyle w:val="Heading7"/>
      <w:lvlText w:val=""/>
      <w:lvlJc w:val="left"/>
      <w:pPr>
        <w:tabs>
          <w:tab w:val="num" w:pos="5040"/>
        </w:tabs>
        <w:ind w:left="5040" w:hanging="720"/>
      </w:pPr>
      <w:rPr>
        <w:rFonts w:ascii="Symbol" w:hAnsi="Symbol" w:hint="default"/>
      </w:rPr>
    </w:lvl>
    <w:lvl w:ilvl="7">
      <w:start w:val="1"/>
      <w:numFmt w:val="bullet"/>
      <w:pStyle w:val="Heading8"/>
      <w:lvlText w:val=""/>
      <w:lvlJc w:val="left"/>
      <w:pPr>
        <w:tabs>
          <w:tab w:val="num" w:pos="5760"/>
        </w:tabs>
        <w:ind w:left="5760" w:hanging="720"/>
      </w:pPr>
      <w:rPr>
        <w:rFonts w:ascii="Symbol" w:hAnsi="Symbol" w:hint="default"/>
        <w:color w:val="auto"/>
      </w:rPr>
    </w:lvl>
    <w:lvl w:ilvl="8">
      <w:start w:val="1"/>
      <w:numFmt w:val="upperLetter"/>
      <w:pStyle w:val="Heading9"/>
      <w:lvlText w:val="Appendix %9"/>
      <w:lvlJc w:val="left"/>
      <w:pPr>
        <w:tabs>
          <w:tab w:val="num" w:pos="1440"/>
        </w:tabs>
        <w:ind w:left="1440" w:hanging="1440"/>
      </w:pPr>
      <w:rPr>
        <w:rFonts w:cs="Times New Roman" w:hint="default"/>
      </w:rPr>
    </w:lvl>
  </w:abstractNum>
  <w:abstractNum w:abstractNumId="3">
    <w:nsid w:val="0A190A63"/>
    <w:multiLevelType w:val="multilevel"/>
    <w:tmpl w:val="38765094"/>
    <w:name w:val="AppHead22"/>
    <w:numStyleLink w:val="AppendixLevelsCustomListStyle"/>
  </w:abstractNum>
  <w:abstractNum w:abstractNumId="4">
    <w:nsid w:val="0E4A56CB"/>
    <w:multiLevelType w:val="hybridMultilevel"/>
    <w:tmpl w:val="FFD2CB6A"/>
    <w:lvl w:ilvl="0" w:tplc="A2B0E4F8">
      <w:start w:val="1"/>
      <w:numFmt w:val="bullet"/>
      <w:pStyle w:val="NarrativeBullets"/>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B7A27"/>
    <w:multiLevelType w:val="multilevel"/>
    <w:tmpl w:val="38765094"/>
    <w:styleLink w:val="AppendixLevelsCustomListStyle"/>
    <w:lvl w:ilvl="0">
      <w:start w:val="1"/>
      <w:numFmt w:val="upperLetter"/>
      <w:pStyle w:val="AppendixHeadingTOC"/>
      <w:lvlText w:val="appendix %1"/>
      <w:lvlJc w:val="left"/>
      <w:rPr>
        <w:rFonts w:ascii="Arial Bold" w:hAnsi="Arial Bold" w:cs="Times New Roman"/>
        <w:b/>
        <w:color w:val="000000"/>
        <w:sz w:val="22"/>
      </w:rPr>
    </w:lvl>
    <w:lvl w:ilvl="1">
      <w:start w:val="1"/>
      <w:numFmt w:val="decimal"/>
      <w:pStyle w:val="AppendixLevel1"/>
      <w:lvlText w:val="%2"/>
      <w:lvlJc w:val="left"/>
      <w:pPr>
        <w:tabs>
          <w:tab w:val="num" w:pos="864"/>
        </w:tabs>
        <w:ind w:left="864" w:hanging="864"/>
      </w:pPr>
      <w:rPr>
        <w:rFonts w:cs="Times New Roman" w:hint="default"/>
      </w:rPr>
    </w:lvl>
    <w:lvl w:ilvl="2">
      <w:start w:val="1"/>
      <w:numFmt w:val="decimal"/>
      <w:pStyle w:val="AppendixLevel2"/>
      <w:lvlText w:val="%2.%3"/>
      <w:lvlJc w:val="left"/>
      <w:pPr>
        <w:tabs>
          <w:tab w:val="num" w:pos="864"/>
        </w:tabs>
        <w:ind w:left="864" w:hanging="864"/>
      </w:pPr>
      <w:rPr>
        <w:rFonts w:cs="Times New Roman" w:hint="default"/>
      </w:rPr>
    </w:lvl>
    <w:lvl w:ilvl="3">
      <w:start w:val="1"/>
      <w:numFmt w:val="decimal"/>
      <w:pStyle w:val="AppendixLevel3"/>
      <w:lvlText w:val="%2.%3.%4"/>
      <w:lvlJc w:val="left"/>
      <w:pPr>
        <w:tabs>
          <w:tab w:val="num" w:pos="2016"/>
        </w:tabs>
        <w:ind w:left="2016" w:hanging="1152"/>
      </w:pPr>
      <w:rPr>
        <w:rFonts w:cs="Times New Roman" w:hint="default"/>
      </w:rPr>
    </w:lvl>
    <w:lvl w:ilvl="4">
      <w:start w:val="1"/>
      <w:numFmt w:val="decimal"/>
      <w:pStyle w:val="AppendixLevel4"/>
      <w:lvlText w:val="%2.%3.%4.%5"/>
      <w:lvlJc w:val="left"/>
      <w:pPr>
        <w:tabs>
          <w:tab w:val="num" w:pos="3456"/>
        </w:tabs>
        <w:ind w:left="3456" w:hanging="1440"/>
      </w:pPr>
      <w:rPr>
        <w:rFonts w:cs="Times New Roman" w:hint="default"/>
      </w:rPr>
    </w:lvl>
    <w:lvl w:ilvl="5">
      <w:start w:val="1"/>
      <w:numFmt w:val="lowerRoman"/>
      <w:pStyle w:val="AppendixLevel5"/>
      <w:lvlText w:val="(%6)"/>
      <w:lvlJc w:val="left"/>
      <w:pPr>
        <w:tabs>
          <w:tab w:val="num" w:pos="4032"/>
        </w:tabs>
        <w:ind w:left="4032" w:hanging="576"/>
      </w:pPr>
      <w:rPr>
        <w:rFonts w:cs="Times New Roman" w:hint="default"/>
      </w:rPr>
    </w:lvl>
    <w:lvl w:ilvl="6">
      <w:start w:val="1"/>
      <w:numFmt w:val="decimal"/>
      <w:pStyle w:val="MACH7"/>
      <w:lvlText w:val="%7."/>
      <w:lvlJc w:val="left"/>
      <w:pPr>
        <w:ind w:left="2520" w:hanging="360"/>
      </w:pPr>
      <w:rPr>
        <w:rFonts w:cs="Times New Roman" w:hint="default"/>
      </w:rPr>
    </w:lvl>
    <w:lvl w:ilvl="7">
      <w:start w:val="1"/>
      <w:numFmt w:val="lowerLetter"/>
      <w:pStyle w:val="MACH8"/>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5BD1836"/>
    <w:multiLevelType w:val="hybridMultilevel"/>
    <w:tmpl w:val="C98A381C"/>
    <w:lvl w:ilvl="0" w:tplc="D60C0C6E">
      <w:start w:val="1"/>
      <w:numFmt w:val="bullet"/>
      <w:pStyle w:val="NarrativeSUBNumbering"/>
      <w:lvlText w:val="§"/>
      <w:lvlJc w:val="left"/>
      <w:pPr>
        <w:tabs>
          <w:tab w:val="num" w:pos="720"/>
        </w:tabs>
        <w:ind w:left="72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935E5"/>
    <w:multiLevelType w:val="multilevel"/>
    <w:tmpl w:val="FA2E736C"/>
    <w:styleLink w:val="AppendixLevel1Styl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1"/>
      <w:lvlJc w:val="left"/>
      <w:pPr>
        <w:tabs>
          <w:tab w:val="num" w:pos="864"/>
        </w:tabs>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0150F60"/>
    <w:multiLevelType w:val="multilevel"/>
    <w:tmpl w:val="C1A08BD0"/>
    <w:lvl w:ilvl="0">
      <w:start w:val="1"/>
      <w:numFmt w:val="none"/>
      <w:suff w:val="nothing"/>
      <w:lvlText w:val="%1"/>
      <w:lvlJc w:val="center"/>
      <w:rPr>
        <w:rFonts w:ascii="Arial" w:hAnsi="Arial" w:cs="Times New Roman" w:hint="default"/>
        <w:b w:val="0"/>
        <w:i w:val="0"/>
        <w:sz w:val="20"/>
      </w:rPr>
    </w:lvl>
    <w:lvl w:ilvl="1">
      <w:start w:val="1"/>
      <w:numFmt w:val="decimal"/>
      <w:lvlText w:val="%1%2"/>
      <w:lvlJc w:val="left"/>
      <w:pPr>
        <w:tabs>
          <w:tab w:val="num" w:pos="864"/>
        </w:tabs>
        <w:ind w:left="864" w:hanging="864"/>
      </w:pPr>
      <w:rPr>
        <w:rFonts w:cs="Times New Roman" w:hint="default"/>
        <w:b w:val="0"/>
        <w:i w:val="0"/>
        <w:sz w:val="20"/>
      </w:rPr>
    </w:lvl>
    <w:lvl w:ilvl="2">
      <w:start w:val="1"/>
      <w:numFmt w:val="decimal"/>
      <w:lvlText w:val="%2.%3"/>
      <w:lvlJc w:val="left"/>
      <w:pPr>
        <w:tabs>
          <w:tab w:val="num" w:pos="864"/>
        </w:tabs>
        <w:ind w:left="864" w:hanging="864"/>
      </w:pPr>
      <w:rPr>
        <w:rFonts w:cs="Times New Roman" w:hint="default"/>
        <w:b w:val="0"/>
        <w:i w:val="0"/>
      </w:rPr>
    </w:lvl>
    <w:lvl w:ilvl="3">
      <w:start w:val="1"/>
      <w:numFmt w:val="decimal"/>
      <w:lvlText w:val="%2.%3.%4"/>
      <w:lvlJc w:val="left"/>
      <w:pPr>
        <w:tabs>
          <w:tab w:val="num" w:pos="2016"/>
        </w:tabs>
        <w:ind w:left="2016" w:hanging="1152"/>
      </w:pPr>
      <w:rPr>
        <w:rFonts w:cs="Times New Roman" w:hint="default"/>
        <w:b w:val="0"/>
        <w:i w:val="0"/>
      </w:rPr>
    </w:lvl>
    <w:lvl w:ilvl="4">
      <w:start w:val="1"/>
      <w:numFmt w:val="decimal"/>
      <w:lvlText w:val="%2.%3.%4.%5"/>
      <w:lvlJc w:val="left"/>
      <w:pPr>
        <w:tabs>
          <w:tab w:val="num" w:pos="3456"/>
        </w:tabs>
        <w:ind w:left="3456" w:hanging="1440"/>
      </w:pPr>
      <w:rPr>
        <w:rFonts w:cs="Times New Roman" w:hint="default"/>
        <w:b w:val="0"/>
        <w:i w:val="0"/>
      </w:rPr>
    </w:lvl>
    <w:lvl w:ilvl="5">
      <w:start w:val="1"/>
      <w:numFmt w:val="lowerRoman"/>
      <w:lvlText w:val="(%6)"/>
      <w:lvlJc w:val="left"/>
      <w:pPr>
        <w:tabs>
          <w:tab w:val="num" w:pos="4032"/>
        </w:tabs>
        <w:ind w:left="4032" w:hanging="576"/>
      </w:pPr>
      <w:rPr>
        <w:rFonts w:cs="Times New Roman" w:hint="default"/>
        <w:b w:val="0"/>
        <w:i w:val="0"/>
      </w:rPr>
    </w:lvl>
    <w:lvl w:ilvl="6">
      <w:start w:val="1"/>
      <w:numFmt w:val="lowerLetter"/>
      <w:lvlText w:val="(%7)"/>
      <w:lvlJc w:val="left"/>
      <w:pPr>
        <w:tabs>
          <w:tab w:val="num" w:pos="4464"/>
        </w:tabs>
        <w:ind w:left="4464" w:hanging="432"/>
      </w:pPr>
      <w:rPr>
        <w:rFonts w:cs="Times New Roman" w:hint="default"/>
        <w:b w:val="0"/>
        <w:i w:val="0"/>
        <w:color w:val="auto"/>
      </w:rPr>
    </w:lvl>
    <w:lvl w:ilvl="7">
      <w:start w:val="1"/>
      <w:numFmt w:val="bullet"/>
      <w:lvlText w:val=""/>
      <w:lvlJc w:val="left"/>
      <w:pPr>
        <w:tabs>
          <w:tab w:val="num" w:pos="4752"/>
        </w:tabs>
        <w:ind w:left="4752" w:hanging="288"/>
      </w:pPr>
      <w:rPr>
        <w:rFonts w:ascii="Symbol" w:hAnsi="Symbol" w:hint="default"/>
        <w:b w:val="0"/>
        <w:i w:val="0"/>
        <w:color w:val="auto"/>
      </w:rPr>
    </w:lvl>
    <w:lvl w:ilvl="8">
      <w:start w:val="1"/>
      <w:numFmt w:val="bullet"/>
      <w:lvlText w:val=""/>
      <w:lvlJc w:val="left"/>
      <w:pPr>
        <w:tabs>
          <w:tab w:val="num" w:pos="5040"/>
        </w:tabs>
        <w:ind w:left="5040" w:hanging="288"/>
      </w:pPr>
      <w:rPr>
        <w:rFonts w:ascii="Symbol" w:hAnsi="Symbol" w:hint="default"/>
        <w:b w:val="0"/>
        <w:i w:val="0"/>
        <w:color w:val="auto"/>
      </w:rPr>
    </w:lvl>
  </w:abstractNum>
  <w:abstractNum w:abstractNumId="9">
    <w:nsid w:val="22316B5E"/>
    <w:multiLevelType w:val="multilevel"/>
    <w:tmpl w:val="EC7CDB10"/>
    <w:lvl w:ilvl="0">
      <w:start w:val="1"/>
      <w:numFmt w:val="decimal"/>
      <w:pStyle w:val="Level1"/>
      <w:lvlText w:val="Section %1."/>
      <w:lvlJc w:val="left"/>
      <w:pPr>
        <w:tabs>
          <w:tab w:val="num" w:pos="864"/>
        </w:tabs>
        <w:ind w:left="864" w:hanging="864"/>
      </w:pPr>
      <w:rPr>
        <w:rFonts w:cs="Times New Roman" w:hint="default"/>
        <w:b/>
        <w:i w:val="0"/>
        <w:caps w:val="0"/>
        <w:smallCaps w:val="0"/>
        <w:strike w:val="0"/>
        <w:dstrike w:val="0"/>
        <w:vanish w:val="0"/>
        <w:color w:val="000000"/>
        <w:u w:val="none"/>
        <w:effect w:val="none"/>
        <w:vertAlign w:val="baseline"/>
      </w:rPr>
    </w:lvl>
    <w:lvl w:ilvl="1">
      <w:start w:val="1"/>
      <w:numFmt w:val="none"/>
      <w:pStyle w:val="Level2"/>
      <w:lvlText w:val="2"/>
      <w:lvlJc w:val="left"/>
      <w:pPr>
        <w:tabs>
          <w:tab w:val="num" w:pos="864"/>
        </w:tabs>
        <w:ind w:left="864" w:hanging="864"/>
      </w:pPr>
      <w:rPr>
        <w:rFonts w:cs="Times New Roman" w:hint="default"/>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28"/>
        </w:tabs>
        <w:ind w:left="1728" w:hanging="864"/>
      </w:pPr>
      <w:rPr>
        <w:rFonts w:cs="Times New Roman" w:hint="default"/>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304"/>
        </w:tabs>
        <w:ind w:left="2304" w:hanging="576"/>
      </w:pPr>
      <w:rPr>
        <w:rFonts w:cs="Times New Roman" w:hint="default"/>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2880"/>
        </w:tabs>
        <w:ind w:left="2880" w:hanging="576"/>
      </w:pPr>
      <w:rPr>
        <w:rFonts w:cs="Times New Roman" w:hint="default"/>
        <w:b w:val="0"/>
        <w:i w:val="0"/>
        <w:caps w:val="0"/>
        <w:smallCaps w:val="0"/>
        <w:strike w:val="0"/>
        <w:dstrike w:val="0"/>
        <w:vanish w:val="0"/>
        <w:color w:val="000000"/>
        <w:u w:val="none"/>
        <w:effect w:val="none"/>
        <w:vertAlign w:val="baseline"/>
      </w:rPr>
    </w:lvl>
    <w:lvl w:ilvl="5">
      <w:start w:val="1"/>
      <w:numFmt w:val="upperLetter"/>
      <w:pStyle w:val="Level6"/>
      <w:lvlText w:val="%6."/>
      <w:lvlJc w:val="left"/>
      <w:pPr>
        <w:tabs>
          <w:tab w:val="num" w:pos="3456"/>
        </w:tabs>
        <w:ind w:left="3456" w:hanging="576"/>
      </w:pPr>
      <w:rPr>
        <w:rFonts w:cs="Times New Roman" w:hint="default"/>
        <w:b w:val="0"/>
        <w:i w:val="0"/>
        <w:caps w:val="0"/>
        <w:smallCaps w:val="0"/>
        <w:strike w:val="0"/>
        <w:dstrike w:val="0"/>
        <w:vanish w:val="0"/>
        <w:color w:val="000000"/>
        <w:u w:val="none"/>
        <w:effect w:val="none"/>
        <w:vertAlign w:val="baseline"/>
      </w:rPr>
    </w:lvl>
    <w:lvl w:ilvl="6">
      <w:start w:val="1"/>
      <w:numFmt w:val="decimal"/>
      <w:pStyle w:val="Level7"/>
      <w:lvlText w:val="(%7)"/>
      <w:lvlJc w:val="left"/>
      <w:pPr>
        <w:tabs>
          <w:tab w:val="num" w:pos="4032"/>
        </w:tabs>
        <w:ind w:left="4032" w:hanging="576"/>
      </w:pPr>
      <w:rPr>
        <w:rFonts w:cs="Times New Roman"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abstractNum>
  <w:abstractNum w:abstractNumId="10">
    <w:nsid w:val="26F82C48"/>
    <w:multiLevelType w:val="multilevel"/>
    <w:tmpl w:val="C1A08BD0"/>
    <w:numStyleLink w:val="MacLevelsCustomListStyle"/>
  </w:abstractNum>
  <w:abstractNum w:abstractNumId="11">
    <w:nsid w:val="2796510F"/>
    <w:multiLevelType w:val="hybridMultilevel"/>
    <w:tmpl w:val="189EE8FC"/>
    <w:lvl w:ilvl="0" w:tplc="B27E3A86">
      <w:start w:val="1"/>
      <w:numFmt w:val="decimal"/>
      <w:pStyle w:val="Parties"/>
      <w:lvlText w:val="%1"/>
      <w:lvlJc w:val="left"/>
      <w:pPr>
        <w:tabs>
          <w:tab w:val="num" w:pos="864"/>
        </w:tabs>
        <w:ind w:left="864" w:hanging="86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AF365EE"/>
    <w:multiLevelType w:val="multilevel"/>
    <w:tmpl w:val="38D0DC36"/>
    <w:lvl w:ilvl="0">
      <w:start w:val="1"/>
      <w:numFmt w:val="none"/>
      <w:pStyle w:val="ScheduleHeading"/>
      <w:suff w:val="nothing"/>
      <w:lvlText w:val=""/>
      <w:lvlJc w:val="center"/>
      <w:rPr>
        <w:rFonts w:cs="Times New Roman"/>
        <w:b/>
        <w:i w:val="0"/>
        <w:caps/>
        <w:smallCaps w:val="0"/>
        <w:strike w:val="0"/>
        <w:dstrike w:val="0"/>
        <w:vanish w:val="0"/>
        <w:color w:val="000000"/>
        <w:u w:val="none"/>
        <w:effect w:val="none"/>
        <w:vertAlign w:val="baseline"/>
      </w:rPr>
    </w:lvl>
    <w:lvl w:ilvl="1">
      <w:start w:val="1"/>
      <w:numFmt w:val="none"/>
      <w:pStyle w:val="ScheduleSubHeading"/>
      <w:suff w:val="nothing"/>
      <w:lvlText w:val=""/>
      <w:lvlJc w:val="center"/>
      <w:rPr>
        <w:rFonts w:cs="Times New Roman"/>
        <w:b/>
        <w:i w:val="0"/>
        <w:caps w:val="0"/>
        <w:smallCaps w:val="0"/>
        <w:strike w:val="0"/>
        <w:dstrike w:val="0"/>
        <w:vanish w:val="0"/>
        <w:color w:val="000000"/>
        <w:u w:val="none"/>
        <w:effect w:val="none"/>
        <w:vertAlign w:val="baseline"/>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33707AB3"/>
    <w:multiLevelType w:val="multilevel"/>
    <w:tmpl w:val="5066ED4E"/>
    <w:styleLink w:val="MACBullets"/>
    <w:lvl w:ilvl="0">
      <w:start w:val="1"/>
      <w:numFmt w:val="bullet"/>
      <w:lvlText w:val=""/>
      <w:lvlJc w:val="left"/>
      <w:pPr>
        <w:tabs>
          <w:tab w:val="num" w:pos="432"/>
        </w:tabs>
        <w:ind w:left="432" w:hanging="432"/>
      </w:pPr>
      <w:rPr>
        <w:rFonts w:ascii="Symbol" w:hAnsi="Symbol" w:hint="default"/>
        <w:sz w:val="20"/>
      </w:rPr>
    </w:lvl>
    <w:lvl w:ilvl="1">
      <w:start w:val="1"/>
      <w:numFmt w:val="bullet"/>
      <w:lvlText w:val=""/>
      <w:lvlJc w:val="left"/>
      <w:pPr>
        <w:tabs>
          <w:tab w:val="num" w:pos="1296"/>
        </w:tabs>
        <w:ind w:left="1296" w:hanging="432"/>
      </w:pPr>
      <w:rPr>
        <w:rFonts w:ascii="Symbol" w:hAnsi="Symbol" w:hint="default"/>
      </w:rPr>
    </w:lvl>
    <w:lvl w:ilvl="2">
      <w:start w:val="1"/>
      <w:numFmt w:val="bullet"/>
      <w:lvlText w:val=""/>
      <w:lvlJc w:val="left"/>
      <w:pPr>
        <w:tabs>
          <w:tab w:val="num" w:pos="2448"/>
        </w:tabs>
        <w:ind w:left="2448" w:hanging="432"/>
      </w:pPr>
      <w:rPr>
        <w:rFonts w:ascii="Symbol" w:hAnsi="Symbol" w:hint="default"/>
      </w:rPr>
    </w:lvl>
    <w:lvl w:ilvl="3">
      <w:start w:val="1"/>
      <w:numFmt w:val="bullet"/>
      <w:lvlText w:val=""/>
      <w:lvlJc w:val="left"/>
      <w:pPr>
        <w:tabs>
          <w:tab w:val="num" w:pos="3888"/>
        </w:tabs>
        <w:ind w:left="3888" w:hanging="432"/>
      </w:pPr>
      <w:rPr>
        <w:rFonts w:ascii="Symbol" w:hAnsi="Symbol" w:hint="default"/>
      </w:rPr>
    </w:lvl>
    <w:lvl w:ilvl="4">
      <w:start w:val="1"/>
      <w:numFmt w:val="bullet"/>
      <w:lvlText w:val=""/>
      <w:lvlJc w:val="left"/>
      <w:pPr>
        <w:tabs>
          <w:tab w:val="num" w:pos="4464"/>
        </w:tabs>
        <w:ind w:left="4464" w:hanging="432"/>
      </w:pPr>
      <w:rPr>
        <w:rFonts w:ascii="Symbol" w:hAnsi="Symbol" w:hint="default"/>
      </w:rPr>
    </w:lvl>
    <w:lvl w:ilvl="5">
      <w:start w:val="1"/>
      <w:numFmt w:val="bullet"/>
      <w:lvlRestart w:val="0"/>
      <w:lvlText w:val=""/>
      <w:lvlJc w:val="left"/>
      <w:pPr>
        <w:tabs>
          <w:tab w:val="num" w:pos="4896"/>
        </w:tabs>
        <w:ind w:left="4896" w:hanging="432"/>
      </w:pPr>
      <w:rPr>
        <w:rFonts w:ascii="Symbol" w:hAnsi="Symbol" w:hint="default"/>
      </w:rPr>
    </w:lvl>
    <w:lvl w:ilvl="6">
      <w:start w:val="1"/>
      <w:numFmt w:val="bullet"/>
      <w:lvlText w:val=""/>
      <w:lvlJc w:val="left"/>
      <w:pPr>
        <w:tabs>
          <w:tab w:val="num" w:pos="5184"/>
        </w:tabs>
        <w:ind w:left="5184" w:hanging="432"/>
      </w:pPr>
      <w:rPr>
        <w:rFonts w:ascii="Symbol" w:hAnsi="Symbol" w:hint="default"/>
      </w:rPr>
    </w:lvl>
    <w:lvl w:ilvl="7">
      <w:start w:val="1"/>
      <w:numFmt w:val="bullet"/>
      <w:lvlText w:val=""/>
      <w:lvlJc w:val="left"/>
      <w:pPr>
        <w:tabs>
          <w:tab w:val="num" w:pos="5472"/>
        </w:tabs>
        <w:ind w:left="5472" w:hanging="432"/>
      </w:pPr>
      <w:rPr>
        <w:rFonts w:ascii="Symbol" w:hAnsi="Symbol" w:hint="default"/>
      </w:rPr>
    </w:lvl>
    <w:lvl w:ilvl="8">
      <w:start w:val="1"/>
      <w:numFmt w:val="bullet"/>
      <w:lvlText w:val=""/>
      <w:lvlJc w:val="left"/>
      <w:pPr>
        <w:tabs>
          <w:tab w:val="num" w:pos="5760"/>
        </w:tabs>
        <w:ind w:left="5760" w:hanging="432"/>
      </w:pPr>
      <w:rPr>
        <w:rFonts w:ascii="Symbol" w:hAnsi="Symbol" w:hint="default"/>
      </w:rPr>
    </w:lvl>
  </w:abstractNum>
  <w:abstractNum w:abstractNumId="14">
    <w:nsid w:val="348C1437"/>
    <w:multiLevelType w:val="multilevel"/>
    <w:tmpl w:val="F770494A"/>
    <w:lvl w:ilvl="0">
      <w:start w:val="1"/>
      <w:numFmt w:val="lowerLetter"/>
      <w:pStyle w:val="Definition1"/>
      <w:lvlText w:val="(%1)"/>
      <w:lvlJc w:val="left"/>
      <w:pPr>
        <w:tabs>
          <w:tab w:val="num" w:pos="864"/>
        </w:tabs>
        <w:ind w:left="864" w:hanging="864"/>
      </w:pPr>
      <w:rPr>
        <w:rFonts w:cs="Times New Roman" w:hint="default"/>
        <w:b w:val="0"/>
        <w:i w:val="0"/>
        <w:caps w:val="0"/>
        <w:smallCaps w:val="0"/>
        <w:strike w:val="0"/>
        <w:dstrike w:val="0"/>
        <w:vanish w:val="0"/>
        <w:color w:val="000000"/>
        <w:u w:val="none"/>
        <w:effect w:val="none"/>
        <w:vertAlign w:val="baseline"/>
      </w:rPr>
    </w:lvl>
    <w:lvl w:ilvl="1">
      <w:start w:val="1"/>
      <w:numFmt w:val="decimal"/>
      <w:pStyle w:val="Definition2"/>
      <w:lvlText w:val="%2.1"/>
      <w:lvlJc w:val="left"/>
      <w:pPr>
        <w:tabs>
          <w:tab w:val="num" w:pos="1728"/>
        </w:tabs>
        <w:ind w:left="1728" w:hanging="864"/>
      </w:pPr>
      <w:rPr>
        <w:rFonts w:cs="Times New Roman" w:hint="default"/>
        <w:b w:val="0"/>
        <w:i w:val="0"/>
        <w:caps w:val="0"/>
        <w:smallCaps w:val="0"/>
        <w:strike w:val="0"/>
        <w:dstrike w:val="0"/>
        <w:vanish w:val="0"/>
        <w:color w:val="000000"/>
        <w:u w:val="none"/>
        <w:effect w:val="none"/>
        <w:vertAlign w:val="baseline"/>
      </w:rPr>
    </w:lvl>
    <w:lvl w:ilvl="2">
      <w:start w:val="1"/>
      <w:numFmt w:val="none"/>
      <w:lvlText w:val="Not Defined"/>
      <w:lvlJc w:val="left"/>
      <w:pPr>
        <w:tabs>
          <w:tab w:val="num" w:pos="864"/>
        </w:tabs>
        <w:ind w:left="864" w:hanging="864"/>
      </w:pPr>
      <w:rPr>
        <w:rFonts w:cs="Times New Roman" w:hint="default"/>
        <w:b w:val="0"/>
        <w:i w:val="0"/>
        <w:caps w:val="0"/>
        <w:smallCaps w:val="0"/>
        <w:strike w:val="0"/>
        <w:dstrike w:val="0"/>
        <w:vanish w:val="0"/>
        <w:color w:val="000000"/>
        <w:u w:val="none"/>
        <w:effect w:val="none"/>
        <w:vertAlign w:val="baseline"/>
      </w:rPr>
    </w:lvl>
    <w:lvl w:ilvl="3">
      <w:start w:val="1"/>
      <w:numFmt w:val="none"/>
      <w:lvlText w:val="Not Defined"/>
      <w:lvlJc w:val="left"/>
      <w:pPr>
        <w:tabs>
          <w:tab w:val="num" w:pos="1728"/>
        </w:tabs>
        <w:ind w:left="1728" w:hanging="864"/>
      </w:pPr>
      <w:rPr>
        <w:rFonts w:cs="Times New Roman" w:hint="default"/>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abstractNum>
  <w:abstractNum w:abstractNumId="15">
    <w:nsid w:val="34BA7960"/>
    <w:multiLevelType w:val="hybridMultilevel"/>
    <w:tmpl w:val="6AC6BADC"/>
    <w:lvl w:ilvl="0" w:tplc="99B4F9CE">
      <w:start w:val="1"/>
      <w:numFmt w:val="bullet"/>
      <w:pStyle w:val="NarrativeNumbering"/>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A6A5A"/>
    <w:multiLevelType w:val="multilevel"/>
    <w:tmpl w:val="3410A50E"/>
    <w:lvl w:ilvl="0">
      <w:start w:val="1"/>
      <w:numFmt w:val="none"/>
      <w:suff w:val="nothing"/>
      <w:lvlText w:val=""/>
      <w:lvlJc w:val="left"/>
      <w:rPr>
        <w:rFonts w:ascii="Arial" w:hAnsi="Arial" w:cs="Times New Roman" w:hint="default"/>
        <w:b/>
        <w:i w:val="0"/>
        <w:color w:val="000000"/>
        <w:sz w:val="22"/>
        <w:szCs w:val="22"/>
      </w:rPr>
    </w:lvl>
    <w:lvl w:ilvl="1">
      <w:start w:val="1"/>
      <w:numFmt w:val="none"/>
      <w:pStyle w:val="AppendixSubHeadingTOC"/>
      <w:suff w:val="nothing"/>
      <w:lvlText w:val=""/>
      <w:lvlJc w:val="left"/>
      <w:rPr>
        <w:rFonts w:cs="Times New Roman" w:hint="default"/>
        <w:b w:val="0"/>
        <w:i w:val="0"/>
        <w:sz w:val="20"/>
      </w:rPr>
    </w:lvl>
    <w:lvl w:ilvl="2">
      <w:start w:val="1"/>
      <w:numFmt w:val="none"/>
      <w:lvlText w:val=""/>
      <w:lvlJc w:val="left"/>
      <w:pPr>
        <w:tabs>
          <w:tab w:val="num" w:pos="864"/>
        </w:tabs>
        <w:ind w:left="864" w:hanging="864"/>
      </w:pPr>
      <w:rPr>
        <w:rFonts w:cs="Times New Roman" w:hint="default"/>
        <w:b w:val="0"/>
        <w:i w:val="0"/>
        <w:sz w:val="20"/>
      </w:rPr>
    </w:lvl>
    <w:lvl w:ilvl="3">
      <w:start w:val="1"/>
      <w:numFmt w:val="none"/>
      <w:lvlText w:val=""/>
      <w:lvlJc w:val="left"/>
      <w:pPr>
        <w:tabs>
          <w:tab w:val="num" w:pos="864"/>
        </w:tabs>
        <w:ind w:left="864" w:hanging="864"/>
      </w:pPr>
      <w:rPr>
        <w:rFonts w:cs="Times New Roman" w:hint="default"/>
        <w:b w:val="0"/>
        <w:i w:val="0"/>
        <w:sz w:val="20"/>
      </w:rPr>
    </w:lvl>
    <w:lvl w:ilvl="4">
      <w:start w:val="1"/>
      <w:numFmt w:val="none"/>
      <w:lvlText w:val=""/>
      <w:lvlJc w:val="left"/>
      <w:pPr>
        <w:tabs>
          <w:tab w:val="num" w:pos="2016"/>
        </w:tabs>
        <w:ind w:left="2016" w:hanging="1152"/>
      </w:pPr>
      <w:rPr>
        <w:rFonts w:cs="Times New Roman" w:hint="default"/>
        <w:b w:val="0"/>
        <w:i w:val="0"/>
        <w:sz w:val="20"/>
      </w:rPr>
    </w:lvl>
    <w:lvl w:ilvl="5">
      <w:start w:val="1"/>
      <w:numFmt w:val="none"/>
      <w:lvlText w:val=""/>
      <w:lvlJc w:val="left"/>
      <w:pPr>
        <w:tabs>
          <w:tab w:val="num" w:pos="3456"/>
        </w:tabs>
        <w:ind w:left="3456" w:hanging="1440"/>
      </w:pPr>
      <w:rPr>
        <w:rFonts w:cs="Times New Roman" w:hint="default"/>
        <w:b w:val="0"/>
        <w:i w:val="0"/>
        <w:sz w:val="20"/>
      </w:rPr>
    </w:lvl>
    <w:lvl w:ilvl="6">
      <w:start w:val="1"/>
      <w:numFmt w:val="none"/>
      <w:lvlText w:val=""/>
      <w:lvlJc w:val="left"/>
      <w:pPr>
        <w:tabs>
          <w:tab w:val="num" w:pos="3456"/>
        </w:tabs>
        <w:ind w:left="3456" w:hanging="1440"/>
      </w:pPr>
      <w:rPr>
        <w:rFonts w:cs="Times New Roman" w:hint="default"/>
        <w:b w:val="0"/>
        <w:i w:val="0"/>
        <w:sz w:val="20"/>
      </w:rPr>
    </w:lvl>
    <w:lvl w:ilvl="7">
      <w:start w:val="1"/>
      <w:numFmt w:val="none"/>
      <w:lvlRestart w:val="0"/>
      <w:lvlText w:val=""/>
      <w:lvlJc w:val="left"/>
      <w:pPr>
        <w:tabs>
          <w:tab w:val="num" w:pos="5040"/>
        </w:tabs>
        <w:ind w:left="5040" w:hanging="288"/>
      </w:pPr>
      <w:rPr>
        <w:rFonts w:cs="Times New Roman" w:hint="default"/>
        <w:b w:val="0"/>
        <w:i w:val="0"/>
        <w:sz w:val="20"/>
      </w:rPr>
    </w:lvl>
    <w:lvl w:ilvl="8">
      <w:start w:val="1"/>
      <w:numFmt w:val="none"/>
      <w:lvlRestart w:val="0"/>
      <w:suff w:val="nothing"/>
      <w:lvlText w:val=""/>
      <w:lvlJc w:val="left"/>
      <w:pPr>
        <w:ind w:left="1440" w:hanging="1440"/>
      </w:pPr>
      <w:rPr>
        <w:rFonts w:ascii="Arial" w:hAnsi="Arial" w:cs="Times New Roman" w:hint="default"/>
        <w:b/>
        <w:i w:val="0"/>
        <w:sz w:val="22"/>
      </w:rPr>
    </w:lvl>
  </w:abstractNum>
  <w:abstractNum w:abstractNumId="17">
    <w:nsid w:val="401368EA"/>
    <w:multiLevelType w:val="hybridMultilevel"/>
    <w:tmpl w:val="46FA32A8"/>
    <w:name w:val="AppHead222"/>
    <w:lvl w:ilvl="0" w:tplc="08FE772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AA572D4"/>
    <w:multiLevelType w:val="multilevel"/>
    <w:tmpl w:val="5ECACE80"/>
    <w:lvl w:ilvl="0">
      <w:start w:val="1"/>
      <w:numFmt w:val="none"/>
      <w:pStyle w:val="ScheduleSubHeadingTOC"/>
      <w:suff w:val="nothing"/>
      <w:lvlText w:val=""/>
      <w:lvlJc w:val="center"/>
      <w:pPr>
        <w:ind w:firstLine="1440"/>
      </w:pPr>
      <w:rPr>
        <w:rFonts w:ascii="Times New Roman" w:hAnsi="Times New Roman" w:cs="Times New Roman" w:hint="default"/>
        <w:b/>
        <w:i w:val="0"/>
        <w:sz w:val="26"/>
        <w:szCs w:val="26"/>
      </w:rPr>
    </w:lvl>
    <w:lvl w:ilvl="1">
      <w:start w:val="1"/>
      <w:numFmt w:val="decimal"/>
      <w:lvlText w:val="%2"/>
      <w:lvlJc w:val="left"/>
      <w:pPr>
        <w:tabs>
          <w:tab w:val="num" w:pos="1440"/>
        </w:tabs>
        <w:ind w:left="1440" w:hanging="1440"/>
      </w:pPr>
      <w:rPr>
        <w:rFonts w:ascii="Times New Roman" w:hAnsi="Times New Roman" w:cs="Times New Roman" w:hint="default"/>
        <w:b w:val="0"/>
        <w:i w:val="0"/>
        <w:sz w:val="22"/>
        <w:szCs w:val="22"/>
      </w:rPr>
    </w:lvl>
    <w:lvl w:ilvl="2">
      <w:start w:val="1"/>
      <w:numFmt w:val="decimal"/>
      <w:lvlText w:val="%2.%3"/>
      <w:lvlJc w:val="left"/>
      <w:pPr>
        <w:tabs>
          <w:tab w:val="num" w:pos="1440"/>
        </w:tabs>
        <w:ind w:left="1440" w:hanging="1440"/>
      </w:pPr>
      <w:rPr>
        <w:rFonts w:ascii="Times New Roman" w:hAnsi="Times New Roman" w:cs="Times New Roman" w:hint="default"/>
        <w:b w:val="0"/>
        <w:i w:val="0"/>
        <w:sz w:val="22"/>
        <w:szCs w:val="22"/>
      </w:rPr>
    </w:lvl>
    <w:lvl w:ilvl="3">
      <w:start w:val="1"/>
      <w:numFmt w:val="decimal"/>
      <w:lvlText w:val="%2.%3.%4"/>
      <w:lvlJc w:val="left"/>
      <w:pPr>
        <w:tabs>
          <w:tab w:val="num" w:pos="1440"/>
        </w:tabs>
        <w:ind w:left="1440" w:hanging="1440"/>
      </w:pPr>
      <w:rPr>
        <w:rFonts w:ascii="Times New Roman" w:hAnsi="Times New Roman" w:cs="Times New Roman" w:hint="default"/>
        <w:b w:val="0"/>
        <w:i w:val="0"/>
        <w:sz w:val="22"/>
        <w:szCs w:val="22"/>
      </w:rPr>
    </w:lvl>
    <w:lvl w:ilvl="4">
      <w:start w:val="1"/>
      <w:numFmt w:val="decimal"/>
      <w:lvlText w:val="%2.%3.%4.%5"/>
      <w:lvlJc w:val="left"/>
      <w:pPr>
        <w:tabs>
          <w:tab w:val="num" w:pos="2880"/>
        </w:tabs>
        <w:ind w:left="2880" w:hanging="1440"/>
      </w:pPr>
      <w:rPr>
        <w:rFonts w:cs="Times New Roman" w:hint="default"/>
      </w:rPr>
    </w:lvl>
    <w:lvl w:ilvl="5">
      <w:start w:val="1"/>
      <w:numFmt w:val="lowerRoman"/>
      <w:lvlText w:val="(%6)"/>
      <w:lvlJc w:val="left"/>
      <w:pPr>
        <w:tabs>
          <w:tab w:val="num" w:pos="3601"/>
        </w:tabs>
        <w:ind w:left="3601" w:hanging="721"/>
      </w:pPr>
      <w:rPr>
        <w:rFonts w:cs="Times New Roman" w:hint="default"/>
      </w:rPr>
    </w:lvl>
    <w:lvl w:ilvl="6">
      <w:start w:val="1"/>
      <w:numFmt w:val="decimal"/>
      <w:lvlText w:val="%1.%2.%3.%4.%5.%6.%7."/>
      <w:lvlJc w:val="left"/>
      <w:pPr>
        <w:tabs>
          <w:tab w:val="num" w:pos="3960"/>
        </w:tabs>
        <w:ind w:left="2160" w:hanging="1080"/>
      </w:pPr>
      <w:rPr>
        <w:rFonts w:cs="Times New Roman" w:hint="default"/>
      </w:rPr>
    </w:lvl>
    <w:lvl w:ilvl="7">
      <w:start w:val="1"/>
      <w:numFmt w:val="decimal"/>
      <w:lvlText w:val="%1.%2.%3.%4.%5.%6.%7.%8."/>
      <w:lvlJc w:val="left"/>
      <w:pPr>
        <w:tabs>
          <w:tab w:val="num" w:pos="4680"/>
        </w:tabs>
        <w:ind w:left="2664" w:hanging="1224"/>
      </w:pPr>
      <w:rPr>
        <w:rFonts w:cs="Times New Roman" w:hint="default"/>
      </w:rPr>
    </w:lvl>
    <w:lvl w:ilvl="8">
      <w:start w:val="1"/>
      <w:numFmt w:val="decimal"/>
      <w:lvlText w:val="%1.%2.%3.%4.%5.%6.%7.%8.%9."/>
      <w:lvlJc w:val="left"/>
      <w:pPr>
        <w:tabs>
          <w:tab w:val="num" w:pos="5400"/>
        </w:tabs>
        <w:ind w:left="3240" w:hanging="1440"/>
      </w:pPr>
      <w:rPr>
        <w:rFonts w:cs="Times New Roman" w:hint="default"/>
      </w:rPr>
    </w:lvl>
  </w:abstractNum>
  <w:abstractNum w:abstractNumId="19">
    <w:nsid w:val="4AB078A4"/>
    <w:multiLevelType w:val="multilevel"/>
    <w:tmpl w:val="7FC2951C"/>
    <w:lvl w:ilvl="0">
      <w:start w:val="1"/>
      <w:numFmt w:val="none"/>
      <w:pStyle w:val="SingleAppendixHeadingTOC"/>
      <w:suff w:val="nothing"/>
      <w:lvlText w:val="appendix"/>
      <w:lvlJc w:val="left"/>
      <w:pPr>
        <w:ind w:left="86"/>
      </w:pPr>
      <w:rPr>
        <w:rFonts w:ascii="Arial" w:hAnsi="Arial" w:cs="Times New Roman" w:hint="default"/>
        <w:b/>
        <w:i w:val="0"/>
        <w:color w:val="000000"/>
        <w:sz w:val="22"/>
        <w:szCs w:val="22"/>
      </w:rPr>
    </w:lvl>
    <w:lvl w:ilvl="1">
      <w:start w:val="1"/>
      <w:numFmt w:val="none"/>
      <w:lvlText w:val=""/>
      <w:lvlJc w:val="left"/>
      <w:pPr>
        <w:tabs>
          <w:tab w:val="num" w:pos="950"/>
        </w:tabs>
        <w:ind w:left="950" w:hanging="864"/>
      </w:pPr>
      <w:rPr>
        <w:rFonts w:cs="Times New Roman" w:hint="default"/>
        <w:b w:val="0"/>
        <w:i w:val="0"/>
        <w:sz w:val="20"/>
      </w:rPr>
    </w:lvl>
    <w:lvl w:ilvl="2">
      <w:start w:val="1"/>
      <w:numFmt w:val="none"/>
      <w:lvlText w:val=""/>
      <w:lvlJc w:val="left"/>
      <w:pPr>
        <w:tabs>
          <w:tab w:val="num" w:pos="2102"/>
        </w:tabs>
        <w:ind w:left="2102" w:hanging="1152"/>
      </w:pPr>
      <w:rPr>
        <w:rFonts w:cs="Times New Roman" w:hint="default"/>
        <w:b w:val="0"/>
        <w:i w:val="0"/>
        <w:sz w:val="20"/>
      </w:rPr>
    </w:lvl>
    <w:lvl w:ilvl="3">
      <w:start w:val="1"/>
      <w:numFmt w:val="none"/>
      <w:lvlText w:val=""/>
      <w:lvlJc w:val="left"/>
      <w:pPr>
        <w:tabs>
          <w:tab w:val="num" w:pos="3542"/>
        </w:tabs>
        <w:ind w:left="3542" w:hanging="1440"/>
      </w:pPr>
      <w:rPr>
        <w:rFonts w:cs="Times New Roman" w:hint="default"/>
        <w:b w:val="0"/>
        <w:i w:val="0"/>
        <w:sz w:val="20"/>
      </w:rPr>
    </w:lvl>
    <w:lvl w:ilvl="4">
      <w:start w:val="1"/>
      <w:numFmt w:val="none"/>
      <w:lvlText w:val=""/>
      <w:lvlJc w:val="left"/>
      <w:pPr>
        <w:tabs>
          <w:tab w:val="num" w:pos="4118"/>
        </w:tabs>
        <w:ind w:left="4118" w:hanging="576"/>
      </w:pPr>
      <w:rPr>
        <w:rFonts w:cs="Times New Roman" w:hint="default"/>
        <w:b w:val="0"/>
        <w:i w:val="0"/>
        <w:sz w:val="20"/>
      </w:rPr>
    </w:lvl>
    <w:lvl w:ilvl="5">
      <w:start w:val="1"/>
      <w:numFmt w:val="none"/>
      <w:lvlRestart w:val="0"/>
      <w:lvlText w:val=""/>
      <w:lvlJc w:val="left"/>
      <w:pPr>
        <w:tabs>
          <w:tab w:val="num" w:pos="4550"/>
        </w:tabs>
        <w:ind w:left="4550" w:hanging="432"/>
      </w:pPr>
      <w:rPr>
        <w:rFonts w:cs="Times New Roman" w:hint="default"/>
        <w:b w:val="0"/>
        <w:i w:val="0"/>
        <w:sz w:val="20"/>
      </w:rPr>
    </w:lvl>
    <w:lvl w:ilvl="6">
      <w:start w:val="1"/>
      <w:numFmt w:val="none"/>
      <w:lvlRestart w:val="0"/>
      <w:lvlText w:val=""/>
      <w:lvlJc w:val="left"/>
      <w:pPr>
        <w:tabs>
          <w:tab w:val="num" w:pos="4838"/>
        </w:tabs>
        <w:ind w:left="4838" w:hanging="288"/>
      </w:pPr>
      <w:rPr>
        <w:rFonts w:cs="Times New Roman" w:hint="default"/>
        <w:b w:val="0"/>
        <w:i w:val="0"/>
        <w:sz w:val="20"/>
      </w:rPr>
    </w:lvl>
    <w:lvl w:ilvl="7">
      <w:start w:val="1"/>
      <w:numFmt w:val="none"/>
      <w:lvlRestart w:val="0"/>
      <w:lvlText w:val=""/>
      <w:lvlJc w:val="left"/>
      <w:pPr>
        <w:tabs>
          <w:tab w:val="num" w:pos="5126"/>
        </w:tabs>
        <w:ind w:left="5126" w:hanging="288"/>
      </w:pPr>
      <w:rPr>
        <w:rFonts w:cs="Times New Roman" w:hint="default"/>
        <w:b w:val="0"/>
        <w:i w:val="0"/>
        <w:sz w:val="20"/>
      </w:rPr>
    </w:lvl>
    <w:lvl w:ilvl="8">
      <w:start w:val="1"/>
      <w:numFmt w:val="none"/>
      <w:lvlRestart w:val="0"/>
      <w:suff w:val="nothing"/>
      <w:lvlText w:val=""/>
      <w:lvlJc w:val="left"/>
      <w:pPr>
        <w:ind w:left="1526" w:hanging="1440"/>
      </w:pPr>
      <w:rPr>
        <w:rFonts w:ascii="Arial" w:hAnsi="Arial" w:cs="Times New Roman" w:hint="default"/>
        <w:b/>
        <w:i w:val="0"/>
        <w:sz w:val="22"/>
      </w:rPr>
    </w:lvl>
  </w:abstractNum>
  <w:abstractNum w:abstractNumId="20">
    <w:nsid w:val="51EF73FD"/>
    <w:multiLevelType w:val="multilevel"/>
    <w:tmpl w:val="BD643372"/>
    <w:lvl w:ilvl="0">
      <w:start w:val="1"/>
      <w:numFmt w:val="bullet"/>
      <w:pStyle w:val="Bullet1"/>
      <w:lvlText w:val=""/>
      <w:lvlJc w:val="left"/>
      <w:pPr>
        <w:tabs>
          <w:tab w:val="num" w:pos="864"/>
        </w:tabs>
        <w:ind w:left="864" w:hanging="864"/>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28"/>
        </w:tabs>
        <w:ind w:left="1728" w:hanging="864"/>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304"/>
        </w:tabs>
        <w:ind w:left="2304" w:hanging="576"/>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2880"/>
        </w:tabs>
        <w:ind w:left="2880" w:hanging="576"/>
      </w:pPr>
      <w:rPr>
        <w:rFonts w:ascii="Symbol" w:hAnsi="Symbol"/>
        <w:b w:val="0"/>
        <w:i w:val="0"/>
        <w:caps w:val="0"/>
        <w:smallCaps w:val="0"/>
        <w:strike w:val="0"/>
        <w:dstrike w:val="0"/>
        <w:vanish w:val="0"/>
        <w:color w:val="000000"/>
        <w:u w:val="none"/>
        <w:effect w:val="none"/>
        <w:vertAlign w:val="baseline"/>
      </w:rPr>
    </w:lvl>
    <w:lvl w:ilvl="4">
      <w:start w:val="1"/>
      <w:numFmt w:val="bullet"/>
      <w:pStyle w:val="Bullet5"/>
      <w:lvlText w:val=""/>
      <w:lvlJc w:val="left"/>
      <w:pPr>
        <w:tabs>
          <w:tab w:val="num" w:pos="3456"/>
        </w:tabs>
        <w:ind w:left="3456" w:hanging="576"/>
      </w:pPr>
      <w:rPr>
        <w:rFonts w:ascii="Symbol" w:hAnsi="Symbol"/>
        <w:b w:val="0"/>
        <w:i w:val="0"/>
        <w:caps w:val="0"/>
        <w:smallCaps w:val="0"/>
        <w:strike w:val="0"/>
        <w:dstrike w:val="0"/>
        <w:vanish w:val="0"/>
        <w:color w:val="000000"/>
        <w:u w:val="none"/>
        <w:effect w:val="none"/>
        <w:vertAlign w:val="baseline"/>
      </w:rPr>
    </w:lvl>
    <w:lvl w:ilvl="5">
      <w:start w:val="1"/>
      <w:numFmt w:val="bullet"/>
      <w:pStyle w:val="Bullet6"/>
      <w:lvlText w:val=""/>
      <w:lvlJc w:val="left"/>
      <w:pPr>
        <w:tabs>
          <w:tab w:val="num" w:pos="4032"/>
        </w:tabs>
        <w:ind w:left="4032" w:hanging="576"/>
      </w:pPr>
      <w:rPr>
        <w:rFonts w:ascii="Symbol" w:hAnsi="Symbol"/>
        <w:b w:val="0"/>
        <w:i w:val="0"/>
        <w:caps w:val="0"/>
        <w:smallCaps w:val="0"/>
        <w:strike w:val="0"/>
        <w:dstrike w:val="0"/>
        <w:vanish w:val="0"/>
        <w:color w:val="000000"/>
        <w:u w:val="none"/>
        <w:effect w:val="none"/>
        <w:vertAlign w:val="baseline"/>
      </w:rPr>
    </w:lvl>
    <w:lvl w:ilvl="6">
      <w:start w:val="1"/>
      <w:numFmt w:val="bullet"/>
      <w:pStyle w:val="Bullet7"/>
      <w:lvlText w:val=""/>
      <w:lvlJc w:val="left"/>
      <w:pPr>
        <w:tabs>
          <w:tab w:val="num" w:pos="4608"/>
        </w:tabs>
        <w:ind w:left="4608" w:hanging="576"/>
      </w:pPr>
      <w:rPr>
        <w:rFonts w:ascii="Symbol" w:hAnsi="Symbol"/>
        <w:b w:val="0"/>
        <w:i w:val="0"/>
        <w:caps w:val="0"/>
        <w:smallCaps w:val="0"/>
        <w:strike w:val="0"/>
        <w:dstrike w:val="0"/>
        <w:vanish w:val="0"/>
        <w:color w:val="000000"/>
        <w:u w:val="none"/>
        <w:effect w:val="none"/>
        <w:vertAlign w:val="baseline"/>
      </w:rPr>
    </w:lvl>
    <w:lvl w:ilvl="7">
      <w:start w:val="1"/>
      <w:numFmt w:val="bullet"/>
      <w:pStyle w:val="Bullet8"/>
      <w:lvlText w:val=""/>
      <w:lvlJc w:val="left"/>
      <w:pPr>
        <w:tabs>
          <w:tab w:val="num" w:pos="5184"/>
        </w:tabs>
        <w:ind w:left="5184" w:hanging="576"/>
      </w:pPr>
      <w:rPr>
        <w:rFonts w:ascii="Symbol" w:hAnsi="Symbol"/>
        <w:b w:val="0"/>
        <w:i w:val="0"/>
        <w:caps w:val="0"/>
        <w:smallCaps w:val="0"/>
        <w:strike w:val="0"/>
        <w:dstrike w:val="0"/>
        <w:vanish w:val="0"/>
        <w:color w:val="000000"/>
        <w:u w:val="none"/>
        <w:effect w:val="none"/>
        <w:vertAlign w:val="baseline"/>
      </w:rPr>
    </w:lvl>
    <w:lvl w:ilvl="8">
      <w:start w:val="1"/>
      <w:numFmt w:val="bullet"/>
      <w:pStyle w:val="Bullet9"/>
      <w:lvlText w:val=""/>
      <w:lvlJc w:val="left"/>
      <w:pPr>
        <w:tabs>
          <w:tab w:val="num" w:pos="5760"/>
        </w:tabs>
        <w:ind w:left="5760" w:hanging="576"/>
      </w:pPr>
      <w:rPr>
        <w:rFonts w:ascii="Symbol" w:hAnsi="Symbol"/>
        <w:b w:val="0"/>
        <w:i w:val="0"/>
        <w:caps w:val="0"/>
        <w:smallCaps w:val="0"/>
        <w:strike w:val="0"/>
        <w:dstrike w:val="0"/>
        <w:vanish w:val="0"/>
        <w:color w:val="000000"/>
        <w:u w:val="none"/>
        <w:effect w:val="none"/>
        <w:vertAlign w:val="baseline"/>
      </w:rPr>
    </w:lvl>
  </w:abstractNum>
  <w:abstractNum w:abstractNumId="21">
    <w:nsid w:val="565705FB"/>
    <w:multiLevelType w:val="multilevel"/>
    <w:tmpl w:val="C1A08BD0"/>
    <w:styleLink w:val="MacLevelsCustomListStyle"/>
    <w:lvl w:ilvl="0">
      <w:start w:val="1"/>
      <w:numFmt w:val="none"/>
      <w:suff w:val="nothing"/>
      <w:lvlText w:val="%1"/>
      <w:lvlJc w:val="center"/>
      <w:rPr>
        <w:rFonts w:ascii="Arial" w:hAnsi="Arial" w:cs="Times New Roman" w:hint="default"/>
        <w:b w:val="0"/>
        <w:i w:val="0"/>
        <w:sz w:val="20"/>
      </w:rPr>
    </w:lvl>
    <w:lvl w:ilvl="1">
      <w:start w:val="1"/>
      <w:numFmt w:val="decimal"/>
      <w:lvlText w:val="%1%2"/>
      <w:lvlJc w:val="left"/>
      <w:pPr>
        <w:tabs>
          <w:tab w:val="num" w:pos="864"/>
        </w:tabs>
        <w:ind w:left="864" w:hanging="864"/>
      </w:pPr>
      <w:rPr>
        <w:rFonts w:cs="Times New Roman" w:hint="default"/>
        <w:b w:val="0"/>
        <w:i w:val="0"/>
        <w:sz w:val="20"/>
      </w:rPr>
    </w:lvl>
    <w:lvl w:ilvl="2">
      <w:start w:val="1"/>
      <w:numFmt w:val="decimal"/>
      <w:lvlText w:val="%2.%3"/>
      <w:lvlJc w:val="left"/>
      <w:pPr>
        <w:tabs>
          <w:tab w:val="num" w:pos="864"/>
        </w:tabs>
        <w:ind w:left="864" w:hanging="864"/>
      </w:pPr>
      <w:rPr>
        <w:rFonts w:cs="Times New Roman" w:hint="default"/>
        <w:b w:val="0"/>
        <w:i w:val="0"/>
      </w:rPr>
    </w:lvl>
    <w:lvl w:ilvl="3">
      <w:start w:val="1"/>
      <w:numFmt w:val="decimal"/>
      <w:pStyle w:val="ScheduleLevel2"/>
      <w:lvlText w:val="%2.%3.%4"/>
      <w:lvlJc w:val="left"/>
      <w:pPr>
        <w:tabs>
          <w:tab w:val="num" w:pos="2016"/>
        </w:tabs>
        <w:ind w:left="2016" w:hanging="1152"/>
      </w:pPr>
      <w:rPr>
        <w:rFonts w:cs="Times New Roman" w:hint="default"/>
        <w:b w:val="0"/>
        <w:i w:val="0"/>
      </w:rPr>
    </w:lvl>
    <w:lvl w:ilvl="4">
      <w:start w:val="1"/>
      <w:numFmt w:val="decimal"/>
      <w:lvlText w:val="%2.%3.%4.%5"/>
      <w:lvlJc w:val="left"/>
      <w:pPr>
        <w:tabs>
          <w:tab w:val="num" w:pos="3456"/>
        </w:tabs>
        <w:ind w:left="3456" w:hanging="1440"/>
      </w:pPr>
      <w:rPr>
        <w:rFonts w:cs="Times New Roman" w:hint="default"/>
        <w:b w:val="0"/>
        <w:i w:val="0"/>
      </w:rPr>
    </w:lvl>
    <w:lvl w:ilvl="5">
      <w:start w:val="1"/>
      <w:numFmt w:val="lowerRoman"/>
      <w:lvlText w:val="(%6)"/>
      <w:lvlJc w:val="left"/>
      <w:pPr>
        <w:tabs>
          <w:tab w:val="num" w:pos="4032"/>
        </w:tabs>
        <w:ind w:left="4032" w:hanging="576"/>
      </w:pPr>
      <w:rPr>
        <w:rFonts w:cs="Times New Roman" w:hint="default"/>
        <w:b w:val="0"/>
        <w:i w:val="0"/>
      </w:rPr>
    </w:lvl>
    <w:lvl w:ilvl="6">
      <w:start w:val="1"/>
      <w:numFmt w:val="lowerLetter"/>
      <w:lvlText w:val="(%7)"/>
      <w:lvlJc w:val="left"/>
      <w:pPr>
        <w:tabs>
          <w:tab w:val="num" w:pos="4464"/>
        </w:tabs>
        <w:ind w:left="4464" w:hanging="432"/>
      </w:pPr>
      <w:rPr>
        <w:rFonts w:cs="Times New Roman" w:hint="default"/>
        <w:b w:val="0"/>
        <w:i w:val="0"/>
        <w:color w:val="auto"/>
      </w:rPr>
    </w:lvl>
    <w:lvl w:ilvl="7">
      <w:start w:val="1"/>
      <w:numFmt w:val="bullet"/>
      <w:lvlText w:val=""/>
      <w:lvlJc w:val="left"/>
      <w:pPr>
        <w:tabs>
          <w:tab w:val="num" w:pos="4752"/>
        </w:tabs>
        <w:ind w:left="4752" w:hanging="288"/>
      </w:pPr>
      <w:rPr>
        <w:rFonts w:ascii="Symbol" w:hAnsi="Symbol" w:hint="default"/>
        <w:b w:val="0"/>
        <w:i w:val="0"/>
        <w:color w:val="auto"/>
      </w:rPr>
    </w:lvl>
    <w:lvl w:ilvl="8">
      <w:start w:val="1"/>
      <w:numFmt w:val="bullet"/>
      <w:lvlText w:val=""/>
      <w:lvlJc w:val="left"/>
      <w:pPr>
        <w:tabs>
          <w:tab w:val="num" w:pos="5040"/>
        </w:tabs>
        <w:ind w:left="5040" w:hanging="288"/>
      </w:pPr>
      <w:rPr>
        <w:rFonts w:ascii="Symbol" w:hAnsi="Symbol" w:hint="default"/>
        <w:b w:val="0"/>
        <w:i w:val="0"/>
        <w:color w:val="auto"/>
      </w:rPr>
    </w:lvl>
  </w:abstractNum>
  <w:abstractNum w:abstractNumId="22">
    <w:nsid w:val="5F6275C7"/>
    <w:multiLevelType w:val="multilevel"/>
    <w:tmpl w:val="572E03C4"/>
    <w:lvl w:ilvl="0">
      <w:start w:val="1"/>
      <w:numFmt w:val="decimal"/>
      <w:pStyle w:val="SectionHeadingTOC"/>
      <w:lvlText w:val="%1"/>
      <w:lvlJc w:val="left"/>
      <w:pPr>
        <w:tabs>
          <w:tab w:val="num" w:pos="864"/>
        </w:tabs>
        <w:ind w:left="864" w:hanging="864"/>
      </w:pPr>
      <w:rPr>
        <w:rFonts w:cs="Times New Roman" w:hint="default"/>
        <w:b w:val="0"/>
        <w:i w:val="0"/>
        <w:sz w:val="22"/>
        <w:szCs w:val="22"/>
      </w:rPr>
    </w:lvl>
    <w:lvl w:ilvl="1">
      <w:start w:val="1"/>
      <w:numFmt w:val="decimal"/>
      <w:pStyle w:val="MacLevel1"/>
      <w:lvlText w:val="10.%2"/>
      <w:lvlJc w:val="left"/>
      <w:pPr>
        <w:tabs>
          <w:tab w:val="num" w:pos="864"/>
        </w:tabs>
        <w:ind w:left="864" w:hanging="864"/>
      </w:pPr>
      <w:rPr>
        <w:rFonts w:cs="Times New Roman" w:hint="default"/>
        <w:b w:val="0"/>
        <w:i w:val="0"/>
        <w:sz w:val="20"/>
      </w:rPr>
    </w:lvl>
    <w:lvl w:ilvl="2">
      <w:start w:val="1"/>
      <w:numFmt w:val="decimal"/>
      <w:pStyle w:val="MacLevel2"/>
      <w:lvlText w:val="7.%2.%3"/>
      <w:lvlJc w:val="left"/>
      <w:pPr>
        <w:tabs>
          <w:tab w:val="num" w:pos="2016"/>
        </w:tabs>
        <w:ind w:left="2016" w:hanging="1152"/>
      </w:pPr>
      <w:rPr>
        <w:rFonts w:cs="Times New Roman" w:hint="default"/>
        <w:b w:val="0"/>
        <w:i w:val="0"/>
        <w:sz w:val="20"/>
      </w:rPr>
    </w:lvl>
    <w:lvl w:ilvl="3">
      <w:start w:val="1"/>
      <w:numFmt w:val="decimal"/>
      <w:pStyle w:val="MacLevel3"/>
      <w:lvlText w:val="%1.%2.%3.%4"/>
      <w:lvlJc w:val="left"/>
      <w:pPr>
        <w:tabs>
          <w:tab w:val="num" w:pos="3456"/>
        </w:tabs>
        <w:ind w:left="3456" w:hanging="1440"/>
      </w:pPr>
      <w:rPr>
        <w:rFonts w:cs="Times New Roman" w:hint="default"/>
        <w:b w:val="0"/>
        <w:i w:val="0"/>
        <w:sz w:val="20"/>
      </w:rPr>
    </w:lvl>
    <w:lvl w:ilvl="4">
      <w:start w:val="1"/>
      <w:numFmt w:val="lowerRoman"/>
      <w:pStyle w:val="MacLevel4"/>
      <w:lvlText w:val="(%5)"/>
      <w:lvlJc w:val="left"/>
      <w:pPr>
        <w:tabs>
          <w:tab w:val="num" w:pos="4032"/>
        </w:tabs>
        <w:ind w:left="4032" w:hanging="576"/>
      </w:pPr>
      <w:rPr>
        <w:rFonts w:cs="Times New Roman" w:hint="default"/>
        <w:b w:val="0"/>
        <w:i w:val="0"/>
        <w:sz w:val="20"/>
      </w:rPr>
    </w:lvl>
    <w:lvl w:ilvl="5">
      <w:start w:val="1"/>
      <w:numFmt w:val="lowerLetter"/>
      <w:pStyle w:val="MacLevel5"/>
      <w:lvlText w:val="(%6)"/>
      <w:lvlJc w:val="left"/>
      <w:pPr>
        <w:tabs>
          <w:tab w:val="num" w:pos="4464"/>
        </w:tabs>
        <w:ind w:left="4464" w:hanging="432"/>
      </w:pPr>
      <w:rPr>
        <w:rFonts w:cs="Times New Roman" w:hint="default"/>
        <w:b w:val="0"/>
        <w:i w:val="0"/>
        <w:sz w:val="20"/>
      </w:rPr>
    </w:lvl>
    <w:lvl w:ilvl="6">
      <w:start w:val="1"/>
      <w:numFmt w:val="bullet"/>
      <w:pStyle w:val="MacLevel6"/>
      <w:lvlText w:val=""/>
      <w:lvlJc w:val="left"/>
      <w:pPr>
        <w:tabs>
          <w:tab w:val="num" w:pos="4752"/>
        </w:tabs>
        <w:ind w:left="4752" w:hanging="288"/>
      </w:pPr>
      <w:rPr>
        <w:rFonts w:ascii="Symbol" w:hAnsi="Symbol" w:hint="default"/>
        <w:b w:val="0"/>
        <w:i w:val="0"/>
        <w:sz w:val="20"/>
      </w:rPr>
    </w:lvl>
    <w:lvl w:ilvl="7">
      <w:start w:val="1"/>
      <w:numFmt w:val="bullet"/>
      <w:pStyle w:val="MacLevel7"/>
      <w:lvlText w:val=""/>
      <w:lvlJc w:val="left"/>
      <w:pPr>
        <w:tabs>
          <w:tab w:val="num" w:pos="5040"/>
        </w:tabs>
        <w:ind w:left="5040" w:hanging="288"/>
      </w:pPr>
      <w:rPr>
        <w:rFonts w:ascii="Symbol" w:hAnsi="Symbol" w:hint="default"/>
        <w:b w:val="0"/>
        <w:i w:val="0"/>
        <w:color w:val="auto"/>
        <w:sz w:val="20"/>
      </w:rPr>
    </w:lvl>
    <w:lvl w:ilvl="8">
      <w:start w:val="1"/>
      <w:numFmt w:val="none"/>
      <w:lvlRestart w:val="0"/>
      <w:pStyle w:val="MacLevel8"/>
      <w:suff w:val="nothing"/>
      <w:lvlText w:val=""/>
      <w:lvlJc w:val="left"/>
      <w:pPr>
        <w:ind w:left="1440" w:hanging="1440"/>
      </w:pPr>
      <w:rPr>
        <w:rFonts w:ascii="Arial" w:hAnsi="Arial" w:cs="Times New Roman" w:hint="default"/>
        <w:b/>
        <w:i w:val="0"/>
        <w:sz w:val="22"/>
      </w:rPr>
    </w:lvl>
  </w:abstractNum>
  <w:abstractNum w:abstractNumId="23">
    <w:nsid w:val="62B75E2C"/>
    <w:multiLevelType w:val="multilevel"/>
    <w:tmpl w:val="DED64614"/>
    <w:lvl w:ilvl="0">
      <w:start w:val="1"/>
      <w:numFmt w:val="upperLetter"/>
      <w:pStyle w:val="Background"/>
      <w:lvlText w:val="%1"/>
      <w:lvlJc w:val="left"/>
      <w:pPr>
        <w:tabs>
          <w:tab w:val="num" w:pos="864"/>
        </w:tabs>
        <w:ind w:left="864" w:hanging="864"/>
      </w:pPr>
      <w:rPr>
        <w:rFonts w:cs="Times New Roman" w:hint="default"/>
      </w:rPr>
    </w:lvl>
    <w:lvl w:ilvl="1">
      <w:start w:val="1"/>
      <w:numFmt w:val="lowerRoman"/>
      <w:pStyle w:val="BackgroundSubClause"/>
      <w:lvlText w:val="(%2)"/>
      <w:lvlJc w:val="left"/>
      <w:pPr>
        <w:tabs>
          <w:tab w:val="num" w:pos="1440"/>
        </w:tabs>
        <w:ind w:left="1440" w:hanging="576"/>
      </w:pPr>
      <w:rPr>
        <w:rFonts w:cs="Times New Roman" w:hint="default"/>
      </w:rPr>
    </w:lvl>
    <w:lvl w:ilvl="2">
      <w:start w:val="1"/>
      <w:numFmt w:val="none"/>
      <w:lvlText w:val=""/>
      <w:lvlJc w:val="left"/>
      <w:pPr>
        <w:tabs>
          <w:tab w:val="num" w:pos="1440"/>
        </w:tabs>
        <w:ind w:left="1440"/>
      </w:pPr>
      <w:rPr>
        <w:rFonts w:cs="Times New Roman" w:hint="default"/>
      </w:rPr>
    </w:lvl>
    <w:lvl w:ilvl="3">
      <w:start w:val="1"/>
      <w:numFmt w:val="none"/>
      <w:lvlText w:val=""/>
      <w:lvlJc w:val="left"/>
      <w:pPr>
        <w:tabs>
          <w:tab w:val="num" w:pos="1440"/>
        </w:tabs>
        <w:ind w:left="1440"/>
      </w:pPr>
      <w:rPr>
        <w:rFonts w:cs="Times New Roman" w:hint="default"/>
      </w:rPr>
    </w:lvl>
    <w:lvl w:ilvl="4">
      <w:start w:val="1"/>
      <w:numFmt w:val="none"/>
      <w:lvlText w:val=""/>
      <w:lvlJc w:val="left"/>
      <w:pPr>
        <w:tabs>
          <w:tab w:val="num" w:pos="1440"/>
        </w:tabs>
        <w:ind w:left="1440"/>
      </w:pPr>
      <w:rPr>
        <w:rFonts w:cs="Times New Roman" w:hint="default"/>
      </w:rPr>
    </w:lvl>
    <w:lvl w:ilvl="5">
      <w:start w:val="1"/>
      <w:numFmt w:val="none"/>
      <w:lvlText w:val=""/>
      <w:lvlJc w:val="left"/>
      <w:pPr>
        <w:tabs>
          <w:tab w:val="num" w:pos="1440"/>
        </w:tabs>
        <w:ind w:left="1440"/>
      </w:pPr>
      <w:rPr>
        <w:rFonts w:cs="Times New Roman" w:hint="default"/>
      </w:rPr>
    </w:lvl>
    <w:lvl w:ilvl="6">
      <w:start w:val="1"/>
      <w:numFmt w:val="none"/>
      <w:lvlText w:val=""/>
      <w:lvlJc w:val="left"/>
      <w:pPr>
        <w:tabs>
          <w:tab w:val="num" w:pos="1440"/>
        </w:tabs>
        <w:ind w:left="1440"/>
      </w:pPr>
      <w:rPr>
        <w:rFonts w:cs="Times New Roman" w:hint="default"/>
      </w:rPr>
    </w:lvl>
    <w:lvl w:ilvl="7">
      <w:start w:val="1"/>
      <w:numFmt w:val="none"/>
      <w:lvlText w:val=""/>
      <w:lvlJc w:val="left"/>
      <w:pPr>
        <w:tabs>
          <w:tab w:val="num" w:pos="1440"/>
        </w:tabs>
        <w:ind w:left="1440"/>
      </w:pPr>
      <w:rPr>
        <w:rFonts w:cs="Times New Roman" w:hint="default"/>
      </w:rPr>
    </w:lvl>
    <w:lvl w:ilvl="8">
      <w:start w:val="1"/>
      <w:numFmt w:val="none"/>
      <w:lvlText w:val=""/>
      <w:lvlJc w:val="left"/>
      <w:pPr>
        <w:tabs>
          <w:tab w:val="num" w:pos="1440"/>
        </w:tabs>
        <w:ind w:left="1440"/>
      </w:pPr>
      <w:rPr>
        <w:rFonts w:cs="Times New Roman" w:hint="default"/>
      </w:rPr>
    </w:lvl>
  </w:abstractNum>
  <w:abstractNum w:abstractNumId="24">
    <w:nsid w:val="63323F10"/>
    <w:multiLevelType w:val="multilevel"/>
    <w:tmpl w:val="C1A08BD0"/>
    <w:lvl w:ilvl="0">
      <w:start w:val="1"/>
      <w:numFmt w:val="none"/>
      <w:suff w:val="nothing"/>
      <w:lvlText w:val="%1"/>
      <w:lvlJc w:val="center"/>
      <w:rPr>
        <w:rFonts w:ascii="Arial" w:hAnsi="Arial" w:cs="Times New Roman" w:hint="default"/>
        <w:b w:val="0"/>
        <w:i w:val="0"/>
        <w:sz w:val="20"/>
      </w:rPr>
    </w:lvl>
    <w:lvl w:ilvl="1">
      <w:start w:val="1"/>
      <w:numFmt w:val="decimal"/>
      <w:lvlText w:val="%1%2"/>
      <w:lvlJc w:val="left"/>
      <w:pPr>
        <w:tabs>
          <w:tab w:val="num" w:pos="864"/>
        </w:tabs>
        <w:ind w:left="864" w:hanging="864"/>
      </w:pPr>
      <w:rPr>
        <w:rFonts w:cs="Times New Roman" w:hint="default"/>
        <w:b w:val="0"/>
        <w:i w:val="0"/>
        <w:sz w:val="20"/>
      </w:rPr>
    </w:lvl>
    <w:lvl w:ilvl="2">
      <w:start w:val="1"/>
      <w:numFmt w:val="decimal"/>
      <w:lvlText w:val="%2.%3"/>
      <w:lvlJc w:val="left"/>
      <w:pPr>
        <w:tabs>
          <w:tab w:val="num" w:pos="864"/>
        </w:tabs>
        <w:ind w:left="864" w:hanging="864"/>
      </w:pPr>
      <w:rPr>
        <w:rFonts w:cs="Times New Roman" w:hint="default"/>
        <w:b w:val="0"/>
        <w:i w:val="0"/>
      </w:rPr>
    </w:lvl>
    <w:lvl w:ilvl="3">
      <w:start w:val="1"/>
      <w:numFmt w:val="decimal"/>
      <w:lvlText w:val="%2.%3.%4"/>
      <w:lvlJc w:val="left"/>
      <w:pPr>
        <w:tabs>
          <w:tab w:val="num" w:pos="2016"/>
        </w:tabs>
        <w:ind w:left="2016" w:hanging="1152"/>
      </w:pPr>
      <w:rPr>
        <w:rFonts w:cs="Times New Roman" w:hint="default"/>
        <w:b w:val="0"/>
        <w:i w:val="0"/>
      </w:rPr>
    </w:lvl>
    <w:lvl w:ilvl="4">
      <w:start w:val="1"/>
      <w:numFmt w:val="decimal"/>
      <w:lvlText w:val="%2.%3.%4.%5"/>
      <w:lvlJc w:val="left"/>
      <w:pPr>
        <w:tabs>
          <w:tab w:val="num" w:pos="3456"/>
        </w:tabs>
        <w:ind w:left="3456" w:hanging="1440"/>
      </w:pPr>
      <w:rPr>
        <w:rFonts w:cs="Times New Roman" w:hint="default"/>
        <w:b w:val="0"/>
        <w:i w:val="0"/>
      </w:rPr>
    </w:lvl>
    <w:lvl w:ilvl="5">
      <w:start w:val="1"/>
      <w:numFmt w:val="lowerRoman"/>
      <w:lvlText w:val="(%6)"/>
      <w:lvlJc w:val="left"/>
      <w:pPr>
        <w:tabs>
          <w:tab w:val="num" w:pos="4032"/>
        </w:tabs>
        <w:ind w:left="4032" w:hanging="576"/>
      </w:pPr>
      <w:rPr>
        <w:rFonts w:cs="Times New Roman" w:hint="default"/>
        <w:b w:val="0"/>
        <w:i w:val="0"/>
      </w:rPr>
    </w:lvl>
    <w:lvl w:ilvl="6">
      <w:start w:val="1"/>
      <w:numFmt w:val="lowerLetter"/>
      <w:lvlText w:val="(%7)"/>
      <w:lvlJc w:val="left"/>
      <w:pPr>
        <w:tabs>
          <w:tab w:val="num" w:pos="4464"/>
        </w:tabs>
        <w:ind w:left="4464" w:hanging="432"/>
      </w:pPr>
      <w:rPr>
        <w:rFonts w:cs="Times New Roman" w:hint="default"/>
        <w:b w:val="0"/>
        <w:i w:val="0"/>
        <w:color w:val="auto"/>
      </w:rPr>
    </w:lvl>
    <w:lvl w:ilvl="7">
      <w:start w:val="1"/>
      <w:numFmt w:val="bullet"/>
      <w:lvlText w:val=""/>
      <w:lvlJc w:val="left"/>
      <w:pPr>
        <w:tabs>
          <w:tab w:val="num" w:pos="4752"/>
        </w:tabs>
        <w:ind w:left="4752" w:hanging="288"/>
      </w:pPr>
      <w:rPr>
        <w:rFonts w:ascii="Symbol" w:hAnsi="Symbol" w:hint="default"/>
        <w:b w:val="0"/>
        <w:i w:val="0"/>
        <w:color w:val="auto"/>
      </w:rPr>
    </w:lvl>
    <w:lvl w:ilvl="8">
      <w:start w:val="1"/>
      <w:numFmt w:val="bullet"/>
      <w:lvlText w:val=""/>
      <w:lvlJc w:val="left"/>
      <w:pPr>
        <w:tabs>
          <w:tab w:val="num" w:pos="5040"/>
        </w:tabs>
        <w:ind w:left="5040" w:hanging="288"/>
      </w:pPr>
      <w:rPr>
        <w:rFonts w:ascii="Symbol" w:hAnsi="Symbol" w:hint="default"/>
        <w:b w:val="0"/>
        <w:i w:val="0"/>
        <w:color w:val="auto"/>
      </w:rPr>
    </w:lvl>
  </w:abstractNum>
  <w:abstractNum w:abstractNumId="25">
    <w:nsid w:val="63E21920"/>
    <w:multiLevelType w:val="multilevel"/>
    <w:tmpl w:val="77E88418"/>
    <w:styleLink w:val="ScheduleLevelsCustomListStyle"/>
    <w:lvl w:ilvl="0">
      <w:start w:val="1"/>
      <w:numFmt w:val="decimal"/>
      <w:suff w:val="nothing"/>
      <w:lvlText w:val="schedule %1"/>
      <w:lvlJc w:val="left"/>
      <w:rPr>
        <w:rFonts w:ascii="Arial" w:hAnsi="Arial" w:cs="Times New Roman" w:hint="default"/>
        <w:b/>
        <w:i w:val="0"/>
        <w:color w:val="000000"/>
        <w:sz w:val="22"/>
      </w:rPr>
    </w:lvl>
    <w:lvl w:ilvl="1">
      <w:start w:val="1"/>
      <w:numFmt w:val="decimal"/>
      <w:suff w:val="nothing"/>
      <w:lvlText w:val="part %2"/>
      <w:lvlJc w:val="left"/>
      <w:rPr>
        <w:rFonts w:ascii="Arial" w:hAnsi="Arial" w:cs="Times New Roman" w:hint="default"/>
        <w:b/>
        <w:i w:val="0"/>
        <w:color w:val="000000"/>
        <w:sz w:val="22"/>
      </w:rPr>
    </w:lvl>
    <w:lvl w:ilvl="2">
      <w:start w:val="1"/>
      <w:numFmt w:val="decimal"/>
      <w:lvlText w:val="%3"/>
      <w:lvlJc w:val="left"/>
      <w:pPr>
        <w:tabs>
          <w:tab w:val="num" w:pos="864"/>
        </w:tabs>
        <w:ind w:left="864" w:hanging="864"/>
      </w:pPr>
      <w:rPr>
        <w:rFonts w:ascii="Arial" w:hAnsi="Arial" w:cs="Times New Roman" w:hint="default"/>
        <w:b w:val="0"/>
        <w:i w:val="0"/>
        <w:sz w:val="20"/>
      </w:rPr>
    </w:lvl>
    <w:lvl w:ilvl="3">
      <w:start w:val="1"/>
      <w:numFmt w:val="decimal"/>
      <w:lvlText w:val="%3.%4"/>
      <w:lvlJc w:val="left"/>
      <w:pPr>
        <w:tabs>
          <w:tab w:val="num" w:pos="864"/>
        </w:tabs>
        <w:ind w:left="864" w:hanging="864"/>
      </w:pPr>
      <w:rPr>
        <w:rFonts w:ascii="Arial" w:hAnsi="Arial" w:cs="Times New Roman" w:hint="default"/>
        <w:b w:val="0"/>
        <w:i w:val="0"/>
        <w:sz w:val="20"/>
      </w:rPr>
    </w:lvl>
    <w:lvl w:ilvl="4">
      <w:start w:val="1"/>
      <w:numFmt w:val="decimal"/>
      <w:lvlText w:val="%3.%4.%5"/>
      <w:lvlJc w:val="left"/>
      <w:pPr>
        <w:tabs>
          <w:tab w:val="num" w:pos="2016"/>
        </w:tabs>
        <w:ind w:left="2016" w:hanging="1152"/>
      </w:pPr>
      <w:rPr>
        <w:rFonts w:ascii="Arial" w:hAnsi="Arial" w:cs="Times New Roman" w:hint="default"/>
        <w:b w:val="0"/>
        <w:i w:val="0"/>
        <w:sz w:val="20"/>
      </w:rPr>
    </w:lvl>
    <w:lvl w:ilvl="5">
      <w:start w:val="1"/>
      <w:numFmt w:val="decimal"/>
      <w:lvlText w:val="%3.%4.%5.%6"/>
      <w:lvlJc w:val="left"/>
      <w:pPr>
        <w:tabs>
          <w:tab w:val="num" w:pos="3456"/>
        </w:tabs>
        <w:ind w:left="3456" w:hanging="1440"/>
      </w:pPr>
      <w:rPr>
        <w:rFonts w:ascii="Arial" w:hAnsi="Arial" w:cs="Times New Roman" w:hint="default"/>
        <w:b w:val="0"/>
        <w:i w:val="0"/>
        <w:sz w:val="20"/>
      </w:rPr>
    </w:lvl>
    <w:lvl w:ilvl="6">
      <w:start w:val="1"/>
      <w:numFmt w:val="lowerRoman"/>
      <w:lvlText w:val="(%7)"/>
      <w:lvlJc w:val="left"/>
      <w:pPr>
        <w:tabs>
          <w:tab w:val="num" w:pos="4032"/>
        </w:tabs>
        <w:ind w:left="4032" w:hanging="576"/>
      </w:pPr>
      <w:rPr>
        <w:rFonts w:ascii="Arial" w:hAnsi="Arial" w:cs="Times New Roman" w:hint="default"/>
        <w:b w:val="0"/>
        <w:i w:val="0"/>
        <w:sz w:val="20"/>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nsid w:val="689B5166"/>
    <w:multiLevelType w:val="multilevel"/>
    <w:tmpl w:val="77E88418"/>
    <w:numStyleLink w:val="ScheduleLevelsCustomListStyle"/>
  </w:abstractNum>
  <w:abstractNum w:abstractNumId="27">
    <w:nsid w:val="6ABA257B"/>
    <w:multiLevelType w:val="multilevel"/>
    <w:tmpl w:val="EAF0BD5E"/>
    <w:name w:val="AppHead2"/>
    <w:lvl w:ilvl="0">
      <w:start w:val="1"/>
      <w:numFmt w:val="upperLetter"/>
      <w:lvlText w:val="appendix %1"/>
      <w:lvlJc w:val="left"/>
      <w:rPr>
        <w:rFonts w:ascii="Arial Bold" w:hAnsi="Arial Bold" w:cs="Times New Roman"/>
        <w:b/>
        <w:color w:val="000000"/>
        <w:sz w:val="22"/>
      </w:rPr>
    </w:lvl>
    <w:lvl w:ilvl="1">
      <w:start w:val="1"/>
      <w:numFmt w:val="decimal"/>
      <w:lvlText w:val="%2"/>
      <w:lvlJc w:val="left"/>
      <w:pPr>
        <w:tabs>
          <w:tab w:val="num" w:pos="864"/>
        </w:tabs>
        <w:ind w:left="864" w:hanging="864"/>
      </w:pPr>
      <w:rPr>
        <w:rFonts w:cs="Times New Roman" w:hint="default"/>
      </w:rPr>
    </w:lvl>
    <w:lvl w:ilvl="2">
      <w:start w:val="1"/>
      <w:numFmt w:val="decimal"/>
      <w:lvlText w:val="%2.%3"/>
      <w:lvlJc w:val="left"/>
      <w:pPr>
        <w:tabs>
          <w:tab w:val="num" w:pos="864"/>
        </w:tabs>
        <w:ind w:left="864" w:hanging="864"/>
      </w:pPr>
      <w:rPr>
        <w:rFonts w:cs="Times New Roman" w:hint="default"/>
      </w:rPr>
    </w:lvl>
    <w:lvl w:ilvl="3">
      <w:start w:val="1"/>
      <w:numFmt w:val="decimal"/>
      <w:lvlText w:val="%2.%3.%4"/>
      <w:lvlJc w:val="left"/>
      <w:pPr>
        <w:tabs>
          <w:tab w:val="num" w:pos="2016"/>
        </w:tabs>
        <w:ind w:left="2016" w:hanging="1152"/>
      </w:pPr>
      <w:rPr>
        <w:rFonts w:cs="Times New Roman" w:hint="default"/>
      </w:rPr>
    </w:lvl>
    <w:lvl w:ilvl="4">
      <w:start w:val="1"/>
      <w:numFmt w:val="decimal"/>
      <w:lvlText w:val="%2.%3.%4.%5"/>
      <w:lvlJc w:val="left"/>
      <w:pPr>
        <w:tabs>
          <w:tab w:val="num" w:pos="3456"/>
        </w:tabs>
        <w:ind w:left="3456" w:hanging="1440"/>
      </w:pPr>
      <w:rPr>
        <w:rFonts w:cs="Times New Roman" w:hint="default"/>
      </w:rPr>
    </w:lvl>
    <w:lvl w:ilvl="5">
      <w:start w:val="1"/>
      <w:numFmt w:val="lowerRoman"/>
      <w:lvlText w:val="(%6)"/>
      <w:lvlJc w:val="left"/>
      <w:pPr>
        <w:tabs>
          <w:tab w:val="num" w:pos="4032"/>
        </w:tabs>
        <w:ind w:left="4032" w:hanging="57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718A7D7C"/>
    <w:multiLevelType w:val="multilevel"/>
    <w:tmpl w:val="0F129E94"/>
    <w:lvl w:ilvl="0">
      <w:start w:val="1"/>
      <w:numFmt w:val="decimal"/>
      <w:lvlText w:val="%1"/>
      <w:lvlJc w:val="left"/>
      <w:pPr>
        <w:tabs>
          <w:tab w:val="num" w:pos="1440"/>
        </w:tabs>
        <w:ind w:left="1440" w:hanging="1440"/>
      </w:pPr>
      <w:rPr>
        <w:rFonts w:cs="Times New Roman" w:hint="default"/>
        <w:b w:val="0"/>
        <w:i w:val="0"/>
        <w:sz w:val="22"/>
        <w:szCs w:val="22"/>
      </w:rPr>
    </w:lvl>
    <w:lvl w:ilvl="1">
      <w:start w:val="1"/>
      <w:numFmt w:val="decimal"/>
      <w:lvlText w:val="%1.%2"/>
      <w:lvlJc w:val="left"/>
      <w:pPr>
        <w:tabs>
          <w:tab w:val="num" w:pos="1440"/>
        </w:tabs>
        <w:ind w:left="1440" w:hanging="1440"/>
      </w:pPr>
      <w:rPr>
        <w:rFonts w:ascii="Trebuchet MS" w:hAnsi="Trebuchet MS" w:cs="Times New Roman" w:hint="default"/>
        <w:b w:val="0"/>
        <w:i w:val="0"/>
        <w:sz w:val="22"/>
      </w:rPr>
    </w:lvl>
    <w:lvl w:ilvl="2">
      <w:start w:val="1"/>
      <w:numFmt w:val="decimal"/>
      <w:pStyle w:val="NewBodyTexta"/>
      <w:lvlText w:val="%1.%2.%3"/>
      <w:lvlJc w:val="left"/>
      <w:pPr>
        <w:tabs>
          <w:tab w:val="num" w:pos="1440"/>
        </w:tabs>
        <w:ind w:left="1440" w:hanging="1440"/>
      </w:pPr>
      <w:rPr>
        <w:rFonts w:ascii="Trebuchet MS" w:hAnsi="Trebuchet MS" w:cs="Times New Roman" w:hint="default"/>
        <w:b w:val="0"/>
        <w:i w:val="0"/>
        <w:sz w:val="22"/>
      </w:rPr>
    </w:lvl>
    <w:lvl w:ilvl="3">
      <w:start w:val="1"/>
      <w:numFmt w:val="decimal"/>
      <w:pStyle w:val="BodyTexti"/>
      <w:lvlText w:val="%1.%2.%3.%4"/>
      <w:lvlJc w:val="left"/>
      <w:pPr>
        <w:tabs>
          <w:tab w:val="num" w:pos="2880"/>
        </w:tabs>
        <w:ind w:left="2880" w:hanging="1440"/>
      </w:pPr>
      <w:rPr>
        <w:rFonts w:ascii="Trebuchet MS" w:hAnsi="Trebuchet MS" w:cs="Times New Roman" w:hint="default"/>
        <w:b w:val="0"/>
        <w:i w:val="0"/>
        <w:sz w:val="22"/>
      </w:rPr>
    </w:lvl>
    <w:lvl w:ilvl="4">
      <w:start w:val="1"/>
      <w:numFmt w:val="lowerRoman"/>
      <w:lvlText w:val="(%5)"/>
      <w:lvlJc w:val="left"/>
      <w:pPr>
        <w:tabs>
          <w:tab w:val="num" w:pos="3600"/>
        </w:tabs>
        <w:ind w:left="3600" w:hanging="720"/>
      </w:pPr>
      <w:rPr>
        <w:rFonts w:ascii="Trebuchet MS" w:hAnsi="Trebuchet MS" w:cs="Times New Roman" w:hint="default"/>
        <w:b w:val="0"/>
        <w:i w:val="0"/>
        <w:sz w:val="22"/>
      </w:rPr>
    </w:lvl>
    <w:lvl w:ilvl="5">
      <w:start w:val="1"/>
      <w:numFmt w:val="lowerLetter"/>
      <w:lvlText w:val="(%6)"/>
      <w:lvlJc w:val="left"/>
      <w:pPr>
        <w:tabs>
          <w:tab w:val="num" w:pos="4320"/>
        </w:tabs>
        <w:ind w:left="4320" w:hanging="720"/>
      </w:pPr>
      <w:rPr>
        <w:rFonts w:ascii="Trebuchet MS" w:hAnsi="Trebuchet MS" w:cs="Times New Roman" w:hint="default"/>
        <w:b w:val="0"/>
        <w:i w:val="0"/>
        <w:sz w:val="22"/>
      </w:rPr>
    </w:lvl>
    <w:lvl w:ilvl="6">
      <w:start w:val="1"/>
      <w:numFmt w:val="bullet"/>
      <w:lvlText w:val=""/>
      <w:lvlJc w:val="left"/>
      <w:pPr>
        <w:tabs>
          <w:tab w:val="num" w:pos="5040"/>
        </w:tabs>
        <w:ind w:left="5040" w:hanging="720"/>
      </w:pPr>
      <w:rPr>
        <w:rFonts w:ascii="Symbol" w:hAnsi="Symbol" w:hint="default"/>
        <w:b w:val="0"/>
        <w:i w:val="0"/>
      </w:rPr>
    </w:lvl>
    <w:lvl w:ilvl="7">
      <w:start w:val="1"/>
      <w:numFmt w:val="bullet"/>
      <w:lvlText w:val=""/>
      <w:lvlJc w:val="left"/>
      <w:pPr>
        <w:tabs>
          <w:tab w:val="num" w:pos="5760"/>
        </w:tabs>
        <w:ind w:left="5760" w:hanging="720"/>
      </w:pPr>
      <w:rPr>
        <w:rFonts w:ascii="Symbol" w:hAnsi="Symbol" w:hint="default"/>
        <w:b w:val="0"/>
        <w:i w:val="0"/>
        <w:color w:val="auto"/>
      </w:rPr>
    </w:lvl>
    <w:lvl w:ilvl="8">
      <w:start w:val="1"/>
      <w:numFmt w:val="upperLetter"/>
      <w:suff w:val="nothing"/>
      <w:lvlText w:val="Appendix %9"/>
      <w:lvlJc w:val="left"/>
      <w:pPr>
        <w:ind w:left="1440" w:hanging="1440"/>
      </w:pPr>
      <w:rPr>
        <w:rFonts w:ascii="Trebuchet MS" w:hAnsi="Trebuchet MS" w:cs="Times New Roman" w:hint="default"/>
        <w:b/>
        <w:i w:val="0"/>
        <w:sz w:val="26"/>
      </w:rPr>
    </w:lvl>
  </w:abstractNum>
  <w:num w:numId="1">
    <w:abstractNumId w:val="14"/>
  </w:num>
  <w:num w:numId="2">
    <w:abstractNumId w:val="12"/>
  </w:num>
  <w:num w:numId="3">
    <w:abstractNumId w:val="20"/>
  </w:num>
  <w:num w:numId="4">
    <w:abstractNumId w:val="9"/>
  </w:num>
  <w:num w:numId="5">
    <w:abstractNumId w:val="28"/>
  </w:num>
  <w:num w:numId="6">
    <w:abstractNumId w:val="11"/>
  </w:num>
  <w:num w:numId="7">
    <w:abstractNumId w:val="16"/>
  </w:num>
  <w:num w:numId="8">
    <w:abstractNumId w:val="18"/>
  </w:num>
  <w:num w:numId="9">
    <w:abstractNumId w:val="19"/>
  </w:num>
  <w:num w:numId="10">
    <w:abstractNumId w:val="0"/>
  </w:num>
  <w:num w:numId="11">
    <w:abstractNumId w:val="13"/>
  </w:num>
  <w:num w:numId="12">
    <w:abstractNumId w:val="23"/>
  </w:num>
  <w:num w:numId="13">
    <w:abstractNumId w:val="7"/>
  </w:num>
  <w:num w:numId="14">
    <w:abstractNumId w:val="2"/>
  </w:num>
  <w:num w:numId="15">
    <w:abstractNumId w:val="4"/>
  </w:num>
  <w:num w:numId="16">
    <w:abstractNumId w:val="15"/>
  </w:num>
  <w:num w:numId="17">
    <w:abstractNumId w:val="6"/>
  </w:num>
  <w:num w:numId="18">
    <w:abstractNumId w:val="21"/>
  </w:num>
  <w:num w:numId="19">
    <w:abstractNumId w:val="25"/>
  </w:num>
  <w:num w:numId="20">
    <w:abstractNumId w:val="26"/>
  </w:num>
  <w:num w:numId="21">
    <w:abstractNumId w:val="5"/>
    <w:lvlOverride w:ilvl="0">
      <w:lvl w:ilvl="0">
        <w:start w:val="1"/>
        <w:numFmt w:val="upperLetter"/>
        <w:pStyle w:val="AppendixHeadingTOC"/>
        <w:lvlText w:val="appendix %1"/>
        <w:lvlJc w:val="left"/>
        <w:rPr>
          <w:rFonts w:ascii="Arial Bold" w:hAnsi="Arial Bold" w:cs="Times New Roman"/>
          <w:b/>
          <w:color w:val="000000"/>
          <w:sz w:val="22"/>
        </w:rPr>
      </w:lvl>
    </w:lvlOverride>
  </w:num>
  <w:num w:numId="22">
    <w:abstractNumId w:val="10"/>
  </w:num>
  <w:num w:numId="23">
    <w:abstractNumId w:val="1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8"/>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3"/>
    </w:lvlOverride>
    <w:lvlOverride w:ilvl="2">
      <w:startOverride w:val="7"/>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B2"/>
    <w:rsid w:val="00003532"/>
    <w:rsid w:val="00006E50"/>
    <w:rsid w:val="00007D6B"/>
    <w:rsid w:val="0001150E"/>
    <w:rsid w:val="00013308"/>
    <w:rsid w:val="00013BB7"/>
    <w:rsid w:val="00014D37"/>
    <w:rsid w:val="00015E21"/>
    <w:rsid w:val="00016919"/>
    <w:rsid w:val="0002265E"/>
    <w:rsid w:val="0002363A"/>
    <w:rsid w:val="00024628"/>
    <w:rsid w:val="00026607"/>
    <w:rsid w:val="0002748D"/>
    <w:rsid w:val="000300E2"/>
    <w:rsid w:val="000304BC"/>
    <w:rsid w:val="000305E9"/>
    <w:rsid w:val="000305F4"/>
    <w:rsid w:val="0003127B"/>
    <w:rsid w:val="00031A32"/>
    <w:rsid w:val="00040875"/>
    <w:rsid w:val="00041163"/>
    <w:rsid w:val="00041C2A"/>
    <w:rsid w:val="00042471"/>
    <w:rsid w:val="000458E9"/>
    <w:rsid w:val="000465F9"/>
    <w:rsid w:val="00046F49"/>
    <w:rsid w:val="00047606"/>
    <w:rsid w:val="00051E13"/>
    <w:rsid w:val="00051EE1"/>
    <w:rsid w:val="000526D3"/>
    <w:rsid w:val="00053A4E"/>
    <w:rsid w:val="00053C21"/>
    <w:rsid w:val="000546F1"/>
    <w:rsid w:val="000551D6"/>
    <w:rsid w:val="000553E8"/>
    <w:rsid w:val="00057146"/>
    <w:rsid w:val="000579CB"/>
    <w:rsid w:val="0006043F"/>
    <w:rsid w:val="00060A9A"/>
    <w:rsid w:val="0006178E"/>
    <w:rsid w:val="0006260E"/>
    <w:rsid w:val="000635C0"/>
    <w:rsid w:val="000655DA"/>
    <w:rsid w:val="0006640D"/>
    <w:rsid w:val="000669C0"/>
    <w:rsid w:val="00071405"/>
    <w:rsid w:val="00071819"/>
    <w:rsid w:val="000740DD"/>
    <w:rsid w:val="000743CC"/>
    <w:rsid w:val="000755C8"/>
    <w:rsid w:val="000757A6"/>
    <w:rsid w:val="00075D95"/>
    <w:rsid w:val="00076DB0"/>
    <w:rsid w:val="00076FB4"/>
    <w:rsid w:val="00077662"/>
    <w:rsid w:val="00081368"/>
    <w:rsid w:val="000814BF"/>
    <w:rsid w:val="000821B1"/>
    <w:rsid w:val="00084AE7"/>
    <w:rsid w:val="000857FA"/>
    <w:rsid w:val="00085E46"/>
    <w:rsid w:val="00085F6B"/>
    <w:rsid w:val="00090647"/>
    <w:rsid w:val="00091937"/>
    <w:rsid w:val="00092A76"/>
    <w:rsid w:val="0009387C"/>
    <w:rsid w:val="00093AD1"/>
    <w:rsid w:val="00095B6C"/>
    <w:rsid w:val="000965C2"/>
    <w:rsid w:val="00097D5B"/>
    <w:rsid w:val="00097E6C"/>
    <w:rsid w:val="000A1014"/>
    <w:rsid w:val="000A1C10"/>
    <w:rsid w:val="000A2DBC"/>
    <w:rsid w:val="000A3B50"/>
    <w:rsid w:val="000A4438"/>
    <w:rsid w:val="000A535D"/>
    <w:rsid w:val="000A5F01"/>
    <w:rsid w:val="000A64C1"/>
    <w:rsid w:val="000B02F2"/>
    <w:rsid w:val="000B05D5"/>
    <w:rsid w:val="000B2ABD"/>
    <w:rsid w:val="000B4572"/>
    <w:rsid w:val="000B55E2"/>
    <w:rsid w:val="000B760A"/>
    <w:rsid w:val="000C0781"/>
    <w:rsid w:val="000C07F8"/>
    <w:rsid w:val="000C3941"/>
    <w:rsid w:val="000C4394"/>
    <w:rsid w:val="000C4649"/>
    <w:rsid w:val="000C4A78"/>
    <w:rsid w:val="000C51C7"/>
    <w:rsid w:val="000C5EA3"/>
    <w:rsid w:val="000C6D7A"/>
    <w:rsid w:val="000C710E"/>
    <w:rsid w:val="000C7E51"/>
    <w:rsid w:val="000D16FD"/>
    <w:rsid w:val="000D5FDC"/>
    <w:rsid w:val="000D64DC"/>
    <w:rsid w:val="000D69FF"/>
    <w:rsid w:val="000D6CA7"/>
    <w:rsid w:val="000D7263"/>
    <w:rsid w:val="000E0130"/>
    <w:rsid w:val="000E0D7F"/>
    <w:rsid w:val="000E0E0C"/>
    <w:rsid w:val="000E4C1F"/>
    <w:rsid w:val="000E5383"/>
    <w:rsid w:val="000E581B"/>
    <w:rsid w:val="000E5CA0"/>
    <w:rsid w:val="000E6100"/>
    <w:rsid w:val="000E7025"/>
    <w:rsid w:val="000E79AC"/>
    <w:rsid w:val="000E7ECC"/>
    <w:rsid w:val="000F0670"/>
    <w:rsid w:val="000F0686"/>
    <w:rsid w:val="000F2736"/>
    <w:rsid w:val="000F311C"/>
    <w:rsid w:val="000F329B"/>
    <w:rsid w:val="000F3663"/>
    <w:rsid w:val="000F38A0"/>
    <w:rsid w:val="000F3A58"/>
    <w:rsid w:val="000F5F76"/>
    <w:rsid w:val="000F78D0"/>
    <w:rsid w:val="001008D8"/>
    <w:rsid w:val="001019B0"/>
    <w:rsid w:val="00101A9B"/>
    <w:rsid w:val="00104037"/>
    <w:rsid w:val="00106E31"/>
    <w:rsid w:val="001074D9"/>
    <w:rsid w:val="00110222"/>
    <w:rsid w:val="00111BFC"/>
    <w:rsid w:val="00112219"/>
    <w:rsid w:val="00112E08"/>
    <w:rsid w:val="00113610"/>
    <w:rsid w:val="00121E50"/>
    <w:rsid w:val="001250DE"/>
    <w:rsid w:val="00125A23"/>
    <w:rsid w:val="001304B9"/>
    <w:rsid w:val="00130877"/>
    <w:rsid w:val="00131CD8"/>
    <w:rsid w:val="00131D48"/>
    <w:rsid w:val="001343C8"/>
    <w:rsid w:val="00134A93"/>
    <w:rsid w:val="00135EF3"/>
    <w:rsid w:val="00136A31"/>
    <w:rsid w:val="00141468"/>
    <w:rsid w:val="00141B67"/>
    <w:rsid w:val="001465AC"/>
    <w:rsid w:val="00147F12"/>
    <w:rsid w:val="00151C98"/>
    <w:rsid w:val="00153A57"/>
    <w:rsid w:val="00153ADD"/>
    <w:rsid w:val="0015454F"/>
    <w:rsid w:val="00154CEE"/>
    <w:rsid w:val="00156B41"/>
    <w:rsid w:val="0015777D"/>
    <w:rsid w:val="001600DC"/>
    <w:rsid w:val="001623AF"/>
    <w:rsid w:val="001627A9"/>
    <w:rsid w:val="00163279"/>
    <w:rsid w:val="001638BD"/>
    <w:rsid w:val="001640A3"/>
    <w:rsid w:val="00166FDD"/>
    <w:rsid w:val="00167BE0"/>
    <w:rsid w:val="001701B9"/>
    <w:rsid w:val="00170261"/>
    <w:rsid w:val="0017251B"/>
    <w:rsid w:val="00172C9E"/>
    <w:rsid w:val="00173681"/>
    <w:rsid w:val="00175475"/>
    <w:rsid w:val="00177E6E"/>
    <w:rsid w:val="0018083C"/>
    <w:rsid w:val="0018479B"/>
    <w:rsid w:val="00185F30"/>
    <w:rsid w:val="00187BD5"/>
    <w:rsid w:val="001902B5"/>
    <w:rsid w:val="00192431"/>
    <w:rsid w:val="00192C76"/>
    <w:rsid w:val="00194EA1"/>
    <w:rsid w:val="00197154"/>
    <w:rsid w:val="00197B9D"/>
    <w:rsid w:val="001A25AD"/>
    <w:rsid w:val="001A6956"/>
    <w:rsid w:val="001B1F4A"/>
    <w:rsid w:val="001B3672"/>
    <w:rsid w:val="001B41FC"/>
    <w:rsid w:val="001B50AD"/>
    <w:rsid w:val="001B7A1E"/>
    <w:rsid w:val="001C0549"/>
    <w:rsid w:val="001C1130"/>
    <w:rsid w:val="001C15DC"/>
    <w:rsid w:val="001C22AD"/>
    <w:rsid w:val="001C4743"/>
    <w:rsid w:val="001C50A9"/>
    <w:rsid w:val="001C5119"/>
    <w:rsid w:val="001C57B5"/>
    <w:rsid w:val="001C677A"/>
    <w:rsid w:val="001C6E87"/>
    <w:rsid w:val="001C7669"/>
    <w:rsid w:val="001D0B27"/>
    <w:rsid w:val="001D12EB"/>
    <w:rsid w:val="001D3AA5"/>
    <w:rsid w:val="001D4A75"/>
    <w:rsid w:val="001D5062"/>
    <w:rsid w:val="001E55E6"/>
    <w:rsid w:val="001E5A51"/>
    <w:rsid w:val="001E5F8C"/>
    <w:rsid w:val="001F00AC"/>
    <w:rsid w:val="001F3422"/>
    <w:rsid w:val="001F57CB"/>
    <w:rsid w:val="001F6C4D"/>
    <w:rsid w:val="001F6C99"/>
    <w:rsid w:val="001F6FE1"/>
    <w:rsid w:val="001F7A46"/>
    <w:rsid w:val="00200DA1"/>
    <w:rsid w:val="00201840"/>
    <w:rsid w:val="002028C3"/>
    <w:rsid w:val="00202B1A"/>
    <w:rsid w:val="00202B4A"/>
    <w:rsid w:val="00202CBC"/>
    <w:rsid w:val="002053AB"/>
    <w:rsid w:val="002058EF"/>
    <w:rsid w:val="0021307B"/>
    <w:rsid w:val="002132E5"/>
    <w:rsid w:val="002161E1"/>
    <w:rsid w:val="002201C0"/>
    <w:rsid w:val="0022100E"/>
    <w:rsid w:val="00221772"/>
    <w:rsid w:val="002241A6"/>
    <w:rsid w:val="002256E5"/>
    <w:rsid w:val="00226359"/>
    <w:rsid w:val="00226A70"/>
    <w:rsid w:val="002314A5"/>
    <w:rsid w:val="00231686"/>
    <w:rsid w:val="0023234A"/>
    <w:rsid w:val="00232392"/>
    <w:rsid w:val="00232DBC"/>
    <w:rsid w:val="002336F7"/>
    <w:rsid w:val="002340C7"/>
    <w:rsid w:val="00236BBE"/>
    <w:rsid w:val="0024038E"/>
    <w:rsid w:val="002405D4"/>
    <w:rsid w:val="00240EDF"/>
    <w:rsid w:val="00241517"/>
    <w:rsid w:val="00241628"/>
    <w:rsid w:val="0024169B"/>
    <w:rsid w:val="002418DB"/>
    <w:rsid w:val="00244738"/>
    <w:rsid w:val="002456A2"/>
    <w:rsid w:val="00245E9B"/>
    <w:rsid w:val="00246778"/>
    <w:rsid w:val="002471AF"/>
    <w:rsid w:val="0025138F"/>
    <w:rsid w:val="00255B4C"/>
    <w:rsid w:val="00255D2A"/>
    <w:rsid w:val="00256144"/>
    <w:rsid w:val="002569D1"/>
    <w:rsid w:val="0026097E"/>
    <w:rsid w:val="00261245"/>
    <w:rsid w:val="002616D2"/>
    <w:rsid w:val="00261763"/>
    <w:rsid w:val="00261992"/>
    <w:rsid w:val="00262737"/>
    <w:rsid w:val="002635AC"/>
    <w:rsid w:val="002639D1"/>
    <w:rsid w:val="00264756"/>
    <w:rsid w:val="00264A4D"/>
    <w:rsid w:val="00264BCA"/>
    <w:rsid w:val="002721A4"/>
    <w:rsid w:val="00273280"/>
    <w:rsid w:val="002734BC"/>
    <w:rsid w:val="00273F5E"/>
    <w:rsid w:val="00274E5F"/>
    <w:rsid w:val="002767BA"/>
    <w:rsid w:val="00276F46"/>
    <w:rsid w:val="002806CB"/>
    <w:rsid w:val="0028081E"/>
    <w:rsid w:val="00280B09"/>
    <w:rsid w:val="00281983"/>
    <w:rsid w:val="0028360F"/>
    <w:rsid w:val="002842AC"/>
    <w:rsid w:val="002848C0"/>
    <w:rsid w:val="00284A60"/>
    <w:rsid w:val="0028611C"/>
    <w:rsid w:val="0028648A"/>
    <w:rsid w:val="00287DB1"/>
    <w:rsid w:val="0029062F"/>
    <w:rsid w:val="00290C5C"/>
    <w:rsid w:val="00294928"/>
    <w:rsid w:val="00294AA4"/>
    <w:rsid w:val="0029618E"/>
    <w:rsid w:val="00297677"/>
    <w:rsid w:val="002A0138"/>
    <w:rsid w:val="002A0C4E"/>
    <w:rsid w:val="002A0D22"/>
    <w:rsid w:val="002A1F14"/>
    <w:rsid w:val="002A2698"/>
    <w:rsid w:val="002A26E3"/>
    <w:rsid w:val="002A3402"/>
    <w:rsid w:val="002A45C2"/>
    <w:rsid w:val="002A47C2"/>
    <w:rsid w:val="002A5854"/>
    <w:rsid w:val="002A625D"/>
    <w:rsid w:val="002A6B66"/>
    <w:rsid w:val="002A7855"/>
    <w:rsid w:val="002B0903"/>
    <w:rsid w:val="002B245B"/>
    <w:rsid w:val="002B3195"/>
    <w:rsid w:val="002B516D"/>
    <w:rsid w:val="002B6E9A"/>
    <w:rsid w:val="002B6F7C"/>
    <w:rsid w:val="002C22F5"/>
    <w:rsid w:val="002C30D0"/>
    <w:rsid w:val="002C3310"/>
    <w:rsid w:val="002C47E9"/>
    <w:rsid w:val="002C4DF9"/>
    <w:rsid w:val="002C6FE5"/>
    <w:rsid w:val="002D3929"/>
    <w:rsid w:val="002D7175"/>
    <w:rsid w:val="002E42F6"/>
    <w:rsid w:val="002E5974"/>
    <w:rsid w:val="002E5F77"/>
    <w:rsid w:val="002E77FC"/>
    <w:rsid w:val="002F1469"/>
    <w:rsid w:val="002F14FC"/>
    <w:rsid w:val="002F4156"/>
    <w:rsid w:val="002F47B0"/>
    <w:rsid w:val="002F4BBA"/>
    <w:rsid w:val="002F4F49"/>
    <w:rsid w:val="002F5FB7"/>
    <w:rsid w:val="00300C1C"/>
    <w:rsid w:val="00303C1E"/>
    <w:rsid w:val="00304218"/>
    <w:rsid w:val="003067B3"/>
    <w:rsid w:val="003067CB"/>
    <w:rsid w:val="00311A87"/>
    <w:rsid w:val="00312352"/>
    <w:rsid w:val="0031382C"/>
    <w:rsid w:val="00313C17"/>
    <w:rsid w:val="00314433"/>
    <w:rsid w:val="00314F97"/>
    <w:rsid w:val="003176C5"/>
    <w:rsid w:val="0032004A"/>
    <w:rsid w:val="0032082B"/>
    <w:rsid w:val="00321429"/>
    <w:rsid w:val="00322681"/>
    <w:rsid w:val="003238AE"/>
    <w:rsid w:val="00325649"/>
    <w:rsid w:val="00326029"/>
    <w:rsid w:val="00331352"/>
    <w:rsid w:val="00331F48"/>
    <w:rsid w:val="003327D0"/>
    <w:rsid w:val="00333DA4"/>
    <w:rsid w:val="00334754"/>
    <w:rsid w:val="00334787"/>
    <w:rsid w:val="00335AD3"/>
    <w:rsid w:val="00335D4B"/>
    <w:rsid w:val="00336771"/>
    <w:rsid w:val="0033683F"/>
    <w:rsid w:val="00337C7F"/>
    <w:rsid w:val="003412B7"/>
    <w:rsid w:val="00341938"/>
    <w:rsid w:val="003421ED"/>
    <w:rsid w:val="003444A4"/>
    <w:rsid w:val="003444E6"/>
    <w:rsid w:val="00344781"/>
    <w:rsid w:val="003456C6"/>
    <w:rsid w:val="0034589B"/>
    <w:rsid w:val="00350273"/>
    <w:rsid w:val="00364434"/>
    <w:rsid w:val="003666E9"/>
    <w:rsid w:val="003667F1"/>
    <w:rsid w:val="00370995"/>
    <w:rsid w:val="003715B8"/>
    <w:rsid w:val="00371D4C"/>
    <w:rsid w:val="00373351"/>
    <w:rsid w:val="00374632"/>
    <w:rsid w:val="00377B8B"/>
    <w:rsid w:val="00380898"/>
    <w:rsid w:val="003823C5"/>
    <w:rsid w:val="0038414D"/>
    <w:rsid w:val="00385BB8"/>
    <w:rsid w:val="003866D0"/>
    <w:rsid w:val="00386C33"/>
    <w:rsid w:val="00387367"/>
    <w:rsid w:val="00387AE9"/>
    <w:rsid w:val="003908D4"/>
    <w:rsid w:val="0039182A"/>
    <w:rsid w:val="003920DB"/>
    <w:rsid w:val="00393D55"/>
    <w:rsid w:val="0039510B"/>
    <w:rsid w:val="003956A2"/>
    <w:rsid w:val="00395818"/>
    <w:rsid w:val="003976A0"/>
    <w:rsid w:val="003A05C2"/>
    <w:rsid w:val="003A13C9"/>
    <w:rsid w:val="003A1574"/>
    <w:rsid w:val="003A19A5"/>
    <w:rsid w:val="003A29FF"/>
    <w:rsid w:val="003A2FB2"/>
    <w:rsid w:val="003A3159"/>
    <w:rsid w:val="003A4771"/>
    <w:rsid w:val="003A51EA"/>
    <w:rsid w:val="003A614D"/>
    <w:rsid w:val="003A7813"/>
    <w:rsid w:val="003B10DB"/>
    <w:rsid w:val="003B2EBA"/>
    <w:rsid w:val="003B3BA4"/>
    <w:rsid w:val="003B4939"/>
    <w:rsid w:val="003B6655"/>
    <w:rsid w:val="003C0057"/>
    <w:rsid w:val="003C0801"/>
    <w:rsid w:val="003C0DEB"/>
    <w:rsid w:val="003C1B99"/>
    <w:rsid w:val="003C1D84"/>
    <w:rsid w:val="003C1E6F"/>
    <w:rsid w:val="003C24C1"/>
    <w:rsid w:val="003C24C6"/>
    <w:rsid w:val="003C2629"/>
    <w:rsid w:val="003C5E51"/>
    <w:rsid w:val="003C6C53"/>
    <w:rsid w:val="003C7739"/>
    <w:rsid w:val="003D07B1"/>
    <w:rsid w:val="003D282B"/>
    <w:rsid w:val="003D4E02"/>
    <w:rsid w:val="003D4FDA"/>
    <w:rsid w:val="003D63BC"/>
    <w:rsid w:val="003D69D6"/>
    <w:rsid w:val="003D72AB"/>
    <w:rsid w:val="003E4A05"/>
    <w:rsid w:val="003E5964"/>
    <w:rsid w:val="003E624D"/>
    <w:rsid w:val="003E6BCD"/>
    <w:rsid w:val="003F046C"/>
    <w:rsid w:val="003F1590"/>
    <w:rsid w:val="003F1DE3"/>
    <w:rsid w:val="003F2E2E"/>
    <w:rsid w:val="003F33A1"/>
    <w:rsid w:val="003F4E0D"/>
    <w:rsid w:val="003F6620"/>
    <w:rsid w:val="003F67AB"/>
    <w:rsid w:val="00400FC4"/>
    <w:rsid w:val="00401999"/>
    <w:rsid w:val="004060FC"/>
    <w:rsid w:val="004064FD"/>
    <w:rsid w:val="0040799C"/>
    <w:rsid w:val="00410C77"/>
    <w:rsid w:val="00413226"/>
    <w:rsid w:val="00413A27"/>
    <w:rsid w:val="00414A23"/>
    <w:rsid w:val="00414D95"/>
    <w:rsid w:val="0041563E"/>
    <w:rsid w:val="00416373"/>
    <w:rsid w:val="00416A25"/>
    <w:rsid w:val="004179EA"/>
    <w:rsid w:val="00420E66"/>
    <w:rsid w:val="00421DDC"/>
    <w:rsid w:val="00425989"/>
    <w:rsid w:val="00426F84"/>
    <w:rsid w:val="004301DB"/>
    <w:rsid w:val="00431272"/>
    <w:rsid w:val="00431E0A"/>
    <w:rsid w:val="004333E2"/>
    <w:rsid w:val="00434DE9"/>
    <w:rsid w:val="00435C60"/>
    <w:rsid w:val="0043612E"/>
    <w:rsid w:val="00436B4E"/>
    <w:rsid w:val="00436D91"/>
    <w:rsid w:val="00436E9E"/>
    <w:rsid w:val="004378CE"/>
    <w:rsid w:val="00437DD6"/>
    <w:rsid w:val="00441DCD"/>
    <w:rsid w:val="00442809"/>
    <w:rsid w:val="004431CE"/>
    <w:rsid w:val="00444F7F"/>
    <w:rsid w:val="00445ADB"/>
    <w:rsid w:val="004469C1"/>
    <w:rsid w:val="00446ECA"/>
    <w:rsid w:val="004474C6"/>
    <w:rsid w:val="00447789"/>
    <w:rsid w:val="00450087"/>
    <w:rsid w:val="004505DD"/>
    <w:rsid w:val="00450A9D"/>
    <w:rsid w:val="00452B2D"/>
    <w:rsid w:val="0045543B"/>
    <w:rsid w:val="0046046C"/>
    <w:rsid w:val="0046095B"/>
    <w:rsid w:val="00460972"/>
    <w:rsid w:val="004623EE"/>
    <w:rsid w:val="004648DF"/>
    <w:rsid w:val="00470985"/>
    <w:rsid w:val="004709BC"/>
    <w:rsid w:val="00470C7D"/>
    <w:rsid w:val="0047248D"/>
    <w:rsid w:val="00473ECC"/>
    <w:rsid w:val="00474034"/>
    <w:rsid w:val="004743D4"/>
    <w:rsid w:val="00476B46"/>
    <w:rsid w:val="004770D8"/>
    <w:rsid w:val="00477AE4"/>
    <w:rsid w:val="004820BC"/>
    <w:rsid w:val="0048227A"/>
    <w:rsid w:val="0048483B"/>
    <w:rsid w:val="00485691"/>
    <w:rsid w:val="00485A2B"/>
    <w:rsid w:val="004912A5"/>
    <w:rsid w:val="00493AD6"/>
    <w:rsid w:val="00493C87"/>
    <w:rsid w:val="00495051"/>
    <w:rsid w:val="00496B9A"/>
    <w:rsid w:val="004A179F"/>
    <w:rsid w:val="004A1D4A"/>
    <w:rsid w:val="004A2409"/>
    <w:rsid w:val="004A35A9"/>
    <w:rsid w:val="004A49FE"/>
    <w:rsid w:val="004A5B35"/>
    <w:rsid w:val="004A6021"/>
    <w:rsid w:val="004A6CD1"/>
    <w:rsid w:val="004B0E5C"/>
    <w:rsid w:val="004B3ABC"/>
    <w:rsid w:val="004B3EFB"/>
    <w:rsid w:val="004C032B"/>
    <w:rsid w:val="004C05C9"/>
    <w:rsid w:val="004C0CFE"/>
    <w:rsid w:val="004C1170"/>
    <w:rsid w:val="004C1346"/>
    <w:rsid w:val="004C3DAC"/>
    <w:rsid w:val="004C3E6A"/>
    <w:rsid w:val="004C5989"/>
    <w:rsid w:val="004C5B84"/>
    <w:rsid w:val="004C6322"/>
    <w:rsid w:val="004D062D"/>
    <w:rsid w:val="004D1CBE"/>
    <w:rsid w:val="004D3162"/>
    <w:rsid w:val="004D371A"/>
    <w:rsid w:val="004D380A"/>
    <w:rsid w:val="004D4ED6"/>
    <w:rsid w:val="004D5621"/>
    <w:rsid w:val="004D7233"/>
    <w:rsid w:val="004D73C2"/>
    <w:rsid w:val="004E2165"/>
    <w:rsid w:val="004E3171"/>
    <w:rsid w:val="004E385F"/>
    <w:rsid w:val="004E3EF9"/>
    <w:rsid w:val="004E4360"/>
    <w:rsid w:val="004E582A"/>
    <w:rsid w:val="004E5B87"/>
    <w:rsid w:val="004E7154"/>
    <w:rsid w:val="004F05E0"/>
    <w:rsid w:val="004F1C25"/>
    <w:rsid w:val="004F1CB0"/>
    <w:rsid w:val="004F3E8A"/>
    <w:rsid w:val="004F3EC4"/>
    <w:rsid w:val="004F4065"/>
    <w:rsid w:val="004F4E8B"/>
    <w:rsid w:val="004F5AA1"/>
    <w:rsid w:val="00502BD6"/>
    <w:rsid w:val="005038A1"/>
    <w:rsid w:val="0050525C"/>
    <w:rsid w:val="00505592"/>
    <w:rsid w:val="0050641D"/>
    <w:rsid w:val="005064AC"/>
    <w:rsid w:val="00507CBB"/>
    <w:rsid w:val="005105F8"/>
    <w:rsid w:val="005108A4"/>
    <w:rsid w:val="00511683"/>
    <w:rsid w:val="00514BF8"/>
    <w:rsid w:val="005202F3"/>
    <w:rsid w:val="0052275C"/>
    <w:rsid w:val="00522E43"/>
    <w:rsid w:val="00525D5D"/>
    <w:rsid w:val="00526093"/>
    <w:rsid w:val="005260AA"/>
    <w:rsid w:val="00526AF0"/>
    <w:rsid w:val="00527848"/>
    <w:rsid w:val="00531C23"/>
    <w:rsid w:val="00532DDA"/>
    <w:rsid w:val="00533C69"/>
    <w:rsid w:val="0053445E"/>
    <w:rsid w:val="005349E4"/>
    <w:rsid w:val="0054116D"/>
    <w:rsid w:val="00544043"/>
    <w:rsid w:val="00544478"/>
    <w:rsid w:val="005449FE"/>
    <w:rsid w:val="005456A5"/>
    <w:rsid w:val="005507EA"/>
    <w:rsid w:val="0055101B"/>
    <w:rsid w:val="00551E50"/>
    <w:rsid w:val="00552466"/>
    <w:rsid w:val="00553391"/>
    <w:rsid w:val="005560EC"/>
    <w:rsid w:val="00556743"/>
    <w:rsid w:val="0055758A"/>
    <w:rsid w:val="0056028B"/>
    <w:rsid w:val="0056104C"/>
    <w:rsid w:val="005621D5"/>
    <w:rsid w:val="005625DD"/>
    <w:rsid w:val="00563885"/>
    <w:rsid w:val="00563B38"/>
    <w:rsid w:val="00564683"/>
    <w:rsid w:val="005665FF"/>
    <w:rsid w:val="005706DD"/>
    <w:rsid w:val="00571084"/>
    <w:rsid w:val="0057248B"/>
    <w:rsid w:val="005724A8"/>
    <w:rsid w:val="005728AD"/>
    <w:rsid w:val="005735C1"/>
    <w:rsid w:val="0057476A"/>
    <w:rsid w:val="005754F2"/>
    <w:rsid w:val="00575A97"/>
    <w:rsid w:val="00577F1B"/>
    <w:rsid w:val="00580B56"/>
    <w:rsid w:val="00581D81"/>
    <w:rsid w:val="00581FAD"/>
    <w:rsid w:val="00582560"/>
    <w:rsid w:val="00582EB8"/>
    <w:rsid w:val="00582F36"/>
    <w:rsid w:val="00587210"/>
    <w:rsid w:val="00591657"/>
    <w:rsid w:val="005932C0"/>
    <w:rsid w:val="0059337E"/>
    <w:rsid w:val="00594331"/>
    <w:rsid w:val="00597110"/>
    <w:rsid w:val="005A05D7"/>
    <w:rsid w:val="005A16E4"/>
    <w:rsid w:val="005A2452"/>
    <w:rsid w:val="005A298F"/>
    <w:rsid w:val="005A2A18"/>
    <w:rsid w:val="005A6E22"/>
    <w:rsid w:val="005A71A0"/>
    <w:rsid w:val="005B037D"/>
    <w:rsid w:val="005B17B9"/>
    <w:rsid w:val="005B184D"/>
    <w:rsid w:val="005B1CCB"/>
    <w:rsid w:val="005B2B45"/>
    <w:rsid w:val="005B4989"/>
    <w:rsid w:val="005B6075"/>
    <w:rsid w:val="005C0814"/>
    <w:rsid w:val="005C139C"/>
    <w:rsid w:val="005C175E"/>
    <w:rsid w:val="005C2B11"/>
    <w:rsid w:val="005C2C8F"/>
    <w:rsid w:val="005C4714"/>
    <w:rsid w:val="005C4966"/>
    <w:rsid w:val="005C49E7"/>
    <w:rsid w:val="005C4D4B"/>
    <w:rsid w:val="005C679D"/>
    <w:rsid w:val="005C6D6A"/>
    <w:rsid w:val="005D1B90"/>
    <w:rsid w:val="005D23D5"/>
    <w:rsid w:val="005D36A2"/>
    <w:rsid w:val="005D3A5E"/>
    <w:rsid w:val="005D562C"/>
    <w:rsid w:val="005D6510"/>
    <w:rsid w:val="005E1761"/>
    <w:rsid w:val="005E3F10"/>
    <w:rsid w:val="005E7109"/>
    <w:rsid w:val="005F21CD"/>
    <w:rsid w:val="005F2D32"/>
    <w:rsid w:val="005F320F"/>
    <w:rsid w:val="005F36C3"/>
    <w:rsid w:val="005F4424"/>
    <w:rsid w:val="005F47D3"/>
    <w:rsid w:val="005F5C2D"/>
    <w:rsid w:val="005F761B"/>
    <w:rsid w:val="006013C1"/>
    <w:rsid w:val="006019C0"/>
    <w:rsid w:val="00602606"/>
    <w:rsid w:val="0060370E"/>
    <w:rsid w:val="00611569"/>
    <w:rsid w:val="00613F36"/>
    <w:rsid w:val="0061717F"/>
    <w:rsid w:val="00617450"/>
    <w:rsid w:val="00621D62"/>
    <w:rsid w:val="00623005"/>
    <w:rsid w:val="0062501F"/>
    <w:rsid w:val="00625F78"/>
    <w:rsid w:val="00626D86"/>
    <w:rsid w:val="00626DA3"/>
    <w:rsid w:val="00630661"/>
    <w:rsid w:val="00633C8D"/>
    <w:rsid w:val="00634433"/>
    <w:rsid w:val="00634CB1"/>
    <w:rsid w:val="00636BC6"/>
    <w:rsid w:val="00637138"/>
    <w:rsid w:val="00641B1B"/>
    <w:rsid w:val="0064254A"/>
    <w:rsid w:val="00642BD2"/>
    <w:rsid w:val="006452A8"/>
    <w:rsid w:val="00650AD8"/>
    <w:rsid w:val="0065366E"/>
    <w:rsid w:val="00653857"/>
    <w:rsid w:val="00654911"/>
    <w:rsid w:val="0065508A"/>
    <w:rsid w:val="00655CEC"/>
    <w:rsid w:val="00656F1D"/>
    <w:rsid w:val="00657446"/>
    <w:rsid w:val="0066161D"/>
    <w:rsid w:val="00661645"/>
    <w:rsid w:val="006619CA"/>
    <w:rsid w:val="00662BB3"/>
    <w:rsid w:val="00662E2E"/>
    <w:rsid w:val="006678C4"/>
    <w:rsid w:val="006701F1"/>
    <w:rsid w:val="00670F68"/>
    <w:rsid w:val="00671574"/>
    <w:rsid w:val="006721E1"/>
    <w:rsid w:val="00672AF1"/>
    <w:rsid w:val="006735B4"/>
    <w:rsid w:val="0067361F"/>
    <w:rsid w:val="0067369D"/>
    <w:rsid w:val="006749A5"/>
    <w:rsid w:val="00676ACF"/>
    <w:rsid w:val="00677965"/>
    <w:rsid w:val="00677E10"/>
    <w:rsid w:val="00681438"/>
    <w:rsid w:val="00683007"/>
    <w:rsid w:val="00684422"/>
    <w:rsid w:val="00685349"/>
    <w:rsid w:val="0068697D"/>
    <w:rsid w:val="00687DB2"/>
    <w:rsid w:val="00690299"/>
    <w:rsid w:val="006908AF"/>
    <w:rsid w:val="00691991"/>
    <w:rsid w:val="0069299C"/>
    <w:rsid w:val="00696D2A"/>
    <w:rsid w:val="006970DD"/>
    <w:rsid w:val="00697493"/>
    <w:rsid w:val="00697760"/>
    <w:rsid w:val="006A1942"/>
    <w:rsid w:val="006A1BA8"/>
    <w:rsid w:val="006A79A1"/>
    <w:rsid w:val="006B0D7E"/>
    <w:rsid w:val="006B13E2"/>
    <w:rsid w:val="006B2120"/>
    <w:rsid w:val="006B2861"/>
    <w:rsid w:val="006B3D2C"/>
    <w:rsid w:val="006B4F7C"/>
    <w:rsid w:val="006B5D7A"/>
    <w:rsid w:val="006B6748"/>
    <w:rsid w:val="006C119A"/>
    <w:rsid w:val="006C1504"/>
    <w:rsid w:val="006C217F"/>
    <w:rsid w:val="006C3F49"/>
    <w:rsid w:val="006C762D"/>
    <w:rsid w:val="006C7AFA"/>
    <w:rsid w:val="006D25E1"/>
    <w:rsid w:val="006D2CA7"/>
    <w:rsid w:val="006D454C"/>
    <w:rsid w:val="006D7893"/>
    <w:rsid w:val="006D7F8B"/>
    <w:rsid w:val="006E1533"/>
    <w:rsid w:val="006E1DD7"/>
    <w:rsid w:val="006E1F53"/>
    <w:rsid w:val="006E2BEF"/>
    <w:rsid w:val="006E36FC"/>
    <w:rsid w:val="006E70A0"/>
    <w:rsid w:val="006E7ACB"/>
    <w:rsid w:val="006F2D18"/>
    <w:rsid w:val="006F7AE6"/>
    <w:rsid w:val="00702239"/>
    <w:rsid w:val="007030A3"/>
    <w:rsid w:val="007039F3"/>
    <w:rsid w:val="00704405"/>
    <w:rsid w:val="007050E5"/>
    <w:rsid w:val="00706B87"/>
    <w:rsid w:val="00707CC4"/>
    <w:rsid w:val="0071141B"/>
    <w:rsid w:val="00711AA9"/>
    <w:rsid w:val="00712657"/>
    <w:rsid w:val="00714B91"/>
    <w:rsid w:val="007155D4"/>
    <w:rsid w:val="00717DFD"/>
    <w:rsid w:val="00720BE6"/>
    <w:rsid w:val="00721ECA"/>
    <w:rsid w:val="00722FAF"/>
    <w:rsid w:val="00722FF9"/>
    <w:rsid w:val="0072450A"/>
    <w:rsid w:val="0072627B"/>
    <w:rsid w:val="0072694E"/>
    <w:rsid w:val="00730562"/>
    <w:rsid w:val="00731901"/>
    <w:rsid w:val="007321AE"/>
    <w:rsid w:val="0073261A"/>
    <w:rsid w:val="00733E6C"/>
    <w:rsid w:val="00734422"/>
    <w:rsid w:val="00734A74"/>
    <w:rsid w:val="00735026"/>
    <w:rsid w:val="0073593A"/>
    <w:rsid w:val="00741C1B"/>
    <w:rsid w:val="007428DA"/>
    <w:rsid w:val="00743922"/>
    <w:rsid w:val="00753EF9"/>
    <w:rsid w:val="00756831"/>
    <w:rsid w:val="00763286"/>
    <w:rsid w:val="007633A1"/>
    <w:rsid w:val="007659CF"/>
    <w:rsid w:val="007660E9"/>
    <w:rsid w:val="0077076C"/>
    <w:rsid w:val="00772BCE"/>
    <w:rsid w:val="00773592"/>
    <w:rsid w:val="00773D05"/>
    <w:rsid w:val="0077432E"/>
    <w:rsid w:val="00774A7E"/>
    <w:rsid w:val="007757C2"/>
    <w:rsid w:val="00780026"/>
    <w:rsid w:val="00780928"/>
    <w:rsid w:val="00780C60"/>
    <w:rsid w:val="00780DCF"/>
    <w:rsid w:val="007822B6"/>
    <w:rsid w:val="00786F5D"/>
    <w:rsid w:val="00787A15"/>
    <w:rsid w:val="00790CEA"/>
    <w:rsid w:val="00791A28"/>
    <w:rsid w:val="0079249D"/>
    <w:rsid w:val="00794ED3"/>
    <w:rsid w:val="00795F7F"/>
    <w:rsid w:val="00796464"/>
    <w:rsid w:val="00796FEE"/>
    <w:rsid w:val="007A06F3"/>
    <w:rsid w:val="007A1D79"/>
    <w:rsid w:val="007A2511"/>
    <w:rsid w:val="007A3514"/>
    <w:rsid w:val="007A370C"/>
    <w:rsid w:val="007A5730"/>
    <w:rsid w:val="007A68C3"/>
    <w:rsid w:val="007B3D7C"/>
    <w:rsid w:val="007B41E3"/>
    <w:rsid w:val="007B51E2"/>
    <w:rsid w:val="007B5361"/>
    <w:rsid w:val="007B587D"/>
    <w:rsid w:val="007B76D9"/>
    <w:rsid w:val="007C319C"/>
    <w:rsid w:val="007C31D5"/>
    <w:rsid w:val="007C43A4"/>
    <w:rsid w:val="007C4985"/>
    <w:rsid w:val="007C4B29"/>
    <w:rsid w:val="007C56F5"/>
    <w:rsid w:val="007C6DA0"/>
    <w:rsid w:val="007C746B"/>
    <w:rsid w:val="007D2E54"/>
    <w:rsid w:val="007D3BD4"/>
    <w:rsid w:val="007D4729"/>
    <w:rsid w:val="007D5652"/>
    <w:rsid w:val="007D59AC"/>
    <w:rsid w:val="007D5A4B"/>
    <w:rsid w:val="007E4583"/>
    <w:rsid w:val="007E7233"/>
    <w:rsid w:val="007F0200"/>
    <w:rsid w:val="007F078E"/>
    <w:rsid w:val="007F0BE6"/>
    <w:rsid w:val="007F3653"/>
    <w:rsid w:val="007F3DB4"/>
    <w:rsid w:val="007F4AD3"/>
    <w:rsid w:val="008017D0"/>
    <w:rsid w:val="00801E7D"/>
    <w:rsid w:val="0080444A"/>
    <w:rsid w:val="00806D5B"/>
    <w:rsid w:val="00807068"/>
    <w:rsid w:val="0081590E"/>
    <w:rsid w:val="0081623F"/>
    <w:rsid w:val="00816A20"/>
    <w:rsid w:val="00816C0C"/>
    <w:rsid w:val="00820258"/>
    <w:rsid w:val="008217C4"/>
    <w:rsid w:val="008221AF"/>
    <w:rsid w:val="00822309"/>
    <w:rsid w:val="00822816"/>
    <w:rsid w:val="00823385"/>
    <w:rsid w:val="0082492E"/>
    <w:rsid w:val="00825865"/>
    <w:rsid w:val="00825D1B"/>
    <w:rsid w:val="008268DD"/>
    <w:rsid w:val="0082762C"/>
    <w:rsid w:val="00827967"/>
    <w:rsid w:val="0083049C"/>
    <w:rsid w:val="00833542"/>
    <w:rsid w:val="00833CC3"/>
    <w:rsid w:val="00834C65"/>
    <w:rsid w:val="00844347"/>
    <w:rsid w:val="008466E1"/>
    <w:rsid w:val="0085152E"/>
    <w:rsid w:val="008522C4"/>
    <w:rsid w:val="0085446C"/>
    <w:rsid w:val="008563FD"/>
    <w:rsid w:val="00856610"/>
    <w:rsid w:val="008578D4"/>
    <w:rsid w:val="0086014F"/>
    <w:rsid w:val="00860CD9"/>
    <w:rsid w:val="008634EC"/>
    <w:rsid w:val="0086363D"/>
    <w:rsid w:val="008665A8"/>
    <w:rsid w:val="008674A4"/>
    <w:rsid w:val="008709A3"/>
    <w:rsid w:val="00870A66"/>
    <w:rsid w:val="00871EB9"/>
    <w:rsid w:val="00872B94"/>
    <w:rsid w:val="008735B0"/>
    <w:rsid w:val="00874D99"/>
    <w:rsid w:val="0087601D"/>
    <w:rsid w:val="00876218"/>
    <w:rsid w:val="0087621C"/>
    <w:rsid w:val="008762CD"/>
    <w:rsid w:val="00881917"/>
    <w:rsid w:val="00881A3B"/>
    <w:rsid w:val="00881C46"/>
    <w:rsid w:val="008825C6"/>
    <w:rsid w:val="008839B8"/>
    <w:rsid w:val="00886E58"/>
    <w:rsid w:val="00891B06"/>
    <w:rsid w:val="00891E76"/>
    <w:rsid w:val="008941D8"/>
    <w:rsid w:val="00894CEB"/>
    <w:rsid w:val="00895C23"/>
    <w:rsid w:val="008A0D04"/>
    <w:rsid w:val="008A28BB"/>
    <w:rsid w:val="008A5874"/>
    <w:rsid w:val="008A62C3"/>
    <w:rsid w:val="008A6A0F"/>
    <w:rsid w:val="008A71FF"/>
    <w:rsid w:val="008A7C73"/>
    <w:rsid w:val="008A7F3D"/>
    <w:rsid w:val="008B0284"/>
    <w:rsid w:val="008B0346"/>
    <w:rsid w:val="008B06F6"/>
    <w:rsid w:val="008B1EDF"/>
    <w:rsid w:val="008B62C4"/>
    <w:rsid w:val="008B6936"/>
    <w:rsid w:val="008B7045"/>
    <w:rsid w:val="008B7198"/>
    <w:rsid w:val="008C0860"/>
    <w:rsid w:val="008C2E98"/>
    <w:rsid w:val="008C60D7"/>
    <w:rsid w:val="008C63A6"/>
    <w:rsid w:val="008C78E8"/>
    <w:rsid w:val="008C7E74"/>
    <w:rsid w:val="008D3848"/>
    <w:rsid w:val="008D3F50"/>
    <w:rsid w:val="008D5F49"/>
    <w:rsid w:val="008D614B"/>
    <w:rsid w:val="008D692D"/>
    <w:rsid w:val="008D78A4"/>
    <w:rsid w:val="008E32E0"/>
    <w:rsid w:val="008E7136"/>
    <w:rsid w:val="008F35D3"/>
    <w:rsid w:val="008F61B8"/>
    <w:rsid w:val="008F734E"/>
    <w:rsid w:val="008F75A6"/>
    <w:rsid w:val="008F7920"/>
    <w:rsid w:val="008F7B69"/>
    <w:rsid w:val="0090058D"/>
    <w:rsid w:val="0090471B"/>
    <w:rsid w:val="00905DCC"/>
    <w:rsid w:val="0090664D"/>
    <w:rsid w:val="00907230"/>
    <w:rsid w:val="00910439"/>
    <w:rsid w:val="009106E9"/>
    <w:rsid w:val="009110EE"/>
    <w:rsid w:val="009149A9"/>
    <w:rsid w:val="009150DF"/>
    <w:rsid w:val="009152D6"/>
    <w:rsid w:val="009155D2"/>
    <w:rsid w:val="00915B9D"/>
    <w:rsid w:val="0091640D"/>
    <w:rsid w:val="00922523"/>
    <w:rsid w:val="00923362"/>
    <w:rsid w:val="009240A8"/>
    <w:rsid w:val="009248C8"/>
    <w:rsid w:val="00925162"/>
    <w:rsid w:val="009251FA"/>
    <w:rsid w:val="0093086B"/>
    <w:rsid w:val="00931B6B"/>
    <w:rsid w:val="00932BEB"/>
    <w:rsid w:val="00935A45"/>
    <w:rsid w:val="00936CCF"/>
    <w:rsid w:val="00940AD6"/>
    <w:rsid w:val="00941B4C"/>
    <w:rsid w:val="00944591"/>
    <w:rsid w:val="00944B00"/>
    <w:rsid w:val="00945395"/>
    <w:rsid w:val="00945B36"/>
    <w:rsid w:val="00946836"/>
    <w:rsid w:val="0094748D"/>
    <w:rsid w:val="00952392"/>
    <w:rsid w:val="00953E1E"/>
    <w:rsid w:val="00954B68"/>
    <w:rsid w:val="0095619F"/>
    <w:rsid w:val="00956D1C"/>
    <w:rsid w:val="009624F7"/>
    <w:rsid w:val="0096519B"/>
    <w:rsid w:val="00966D25"/>
    <w:rsid w:val="00967061"/>
    <w:rsid w:val="00973F02"/>
    <w:rsid w:val="009749DE"/>
    <w:rsid w:val="00975B86"/>
    <w:rsid w:val="0098001C"/>
    <w:rsid w:val="00980253"/>
    <w:rsid w:val="00982E2B"/>
    <w:rsid w:val="00984A2A"/>
    <w:rsid w:val="009858DF"/>
    <w:rsid w:val="009865C1"/>
    <w:rsid w:val="00986921"/>
    <w:rsid w:val="009906D0"/>
    <w:rsid w:val="00991349"/>
    <w:rsid w:val="00992445"/>
    <w:rsid w:val="00993588"/>
    <w:rsid w:val="00994617"/>
    <w:rsid w:val="00995046"/>
    <w:rsid w:val="009950F6"/>
    <w:rsid w:val="00995D5A"/>
    <w:rsid w:val="0099741E"/>
    <w:rsid w:val="009976F7"/>
    <w:rsid w:val="009A0D2D"/>
    <w:rsid w:val="009A12EB"/>
    <w:rsid w:val="009A1389"/>
    <w:rsid w:val="009A1A71"/>
    <w:rsid w:val="009A1FB3"/>
    <w:rsid w:val="009A277D"/>
    <w:rsid w:val="009A3439"/>
    <w:rsid w:val="009A3753"/>
    <w:rsid w:val="009A51D9"/>
    <w:rsid w:val="009A5D57"/>
    <w:rsid w:val="009A7869"/>
    <w:rsid w:val="009B1981"/>
    <w:rsid w:val="009B2ADC"/>
    <w:rsid w:val="009B30D2"/>
    <w:rsid w:val="009B48AD"/>
    <w:rsid w:val="009B69CE"/>
    <w:rsid w:val="009C0939"/>
    <w:rsid w:val="009C1E43"/>
    <w:rsid w:val="009C40B4"/>
    <w:rsid w:val="009C48B6"/>
    <w:rsid w:val="009C50A6"/>
    <w:rsid w:val="009C5653"/>
    <w:rsid w:val="009C5727"/>
    <w:rsid w:val="009C6C5E"/>
    <w:rsid w:val="009C702B"/>
    <w:rsid w:val="009D09ED"/>
    <w:rsid w:val="009D12FA"/>
    <w:rsid w:val="009D220B"/>
    <w:rsid w:val="009D2658"/>
    <w:rsid w:val="009D2E1D"/>
    <w:rsid w:val="009D4EB3"/>
    <w:rsid w:val="009D6E6E"/>
    <w:rsid w:val="009E0B14"/>
    <w:rsid w:val="009E231C"/>
    <w:rsid w:val="009E4D35"/>
    <w:rsid w:val="009F0861"/>
    <w:rsid w:val="009F2692"/>
    <w:rsid w:val="009F27E9"/>
    <w:rsid w:val="009F2F52"/>
    <w:rsid w:val="009F3664"/>
    <w:rsid w:val="009F64DC"/>
    <w:rsid w:val="009F6B98"/>
    <w:rsid w:val="009F6FD9"/>
    <w:rsid w:val="009F7660"/>
    <w:rsid w:val="009F7DE3"/>
    <w:rsid w:val="00A00452"/>
    <w:rsid w:val="00A01844"/>
    <w:rsid w:val="00A02E40"/>
    <w:rsid w:val="00A0360F"/>
    <w:rsid w:val="00A04050"/>
    <w:rsid w:val="00A05D3A"/>
    <w:rsid w:val="00A0671F"/>
    <w:rsid w:val="00A06ECB"/>
    <w:rsid w:val="00A11726"/>
    <w:rsid w:val="00A124DC"/>
    <w:rsid w:val="00A13771"/>
    <w:rsid w:val="00A14FCF"/>
    <w:rsid w:val="00A15AC1"/>
    <w:rsid w:val="00A17613"/>
    <w:rsid w:val="00A22961"/>
    <w:rsid w:val="00A23367"/>
    <w:rsid w:val="00A23658"/>
    <w:rsid w:val="00A23E7D"/>
    <w:rsid w:val="00A24344"/>
    <w:rsid w:val="00A2481A"/>
    <w:rsid w:val="00A24CFD"/>
    <w:rsid w:val="00A24E0E"/>
    <w:rsid w:val="00A2573A"/>
    <w:rsid w:val="00A2575A"/>
    <w:rsid w:val="00A25DBA"/>
    <w:rsid w:val="00A27FEF"/>
    <w:rsid w:val="00A32A55"/>
    <w:rsid w:val="00A353E5"/>
    <w:rsid w:val="00A37439"/>
    <w:rsid w:val="00A37BDD"/>
    <w:rsid w:val="00A40188"/>
    <w:rsid w:val="00A40288"/>
    <w:rsid w:val="00A44367"/>
    <w:rsid w:val="00A44554"/>
    <w:rsid w:val="00A44755"/>
    <w:rsid w:val="00A44B74"/>
    <w:rsid w:val="00A4588D"/>
    <w:rsid w:val="00A45F2B"/>
    <w:rsid w:val="00A46302"/>
    <w:rsid w:val="00A47FAF"/>
    <w:rsid w:val="00A50366"/>
    <w:rsid w:val="00A53788"/>
    <w:rsid w:val="00A53D2F"/>
    <w:rsid w:val="00A60C92"/>
    <w:rsid w:val="00A60F57"/>
    <w:rsid w:val="00A610D9"/>
    <w:rsid w:val="00A6319D"/>
    <w:rsid w:val="00A639BC"/>
    <w:rsid w:val="00A67434"/>
    <w:rsid w:val="00A707F8"/>
    <w:rsid w:val="00A70C9C"/>
    <w:rsid w:val="00A70DDD"/>
    <w:rsid w:val="00A74D88"/>
    <w:rsid w:val="00A75F9F"/>
    <w:rsid w:val="00A801C1"/>
    <w:rsid w:val="00A82678"/>
    <w:rsid w:val="00A84B2F"/>
    <w:rsid w:val="00A85646"/>
    <w:rsid w:val="00A90AB2"/>
    <w:rsid w:val="00A939BE"/>
    <w:rsid w:val="00A93A2D"/>
    <w:rsid w:val="00A93FDB"/>
    <w:rsid w:val="00A9783F"/>
    <w:rsid w:val="00AA26FE"/>
    <w:rsid w:val="00AA2CBB"/>
    <w:rsid w:val="00AA3E90"/>
    <w:rsid w:val="00AA569C"/>
    <w:rsid w:val="00AA5738"/>
    <w:rsid w:val="00AA75B0"/>
    <w:rsid w:val="00AB0520"/>
    <w:rsid w:val="00AB0579"/>
    <w:rsid w:val="00AB1297"/>
    <w:rsid w:val="00AB6099"/>
    <w:rsid w:val="00AC099F"/>
    <w:rsid w:val="00AC3109"/>
    <w:rsid w:val="00AC3ADD"/>
    <w:rsid w:val="00AC3FD7"/>
    <w:rsid w:val="00AC45E6"/>
    <w:rsid w:val="00AC5498"/>
    <w:rsid w:val="00AC5742"/>
    <w:rsid w:val="00AC7164"/>
    <w:rsid w:val="00AC788E"/>
    <w:rsid w:val="00AC7A57"/>
    <w:rsid w:val="00AD0EA0"/>
    <w:rsid w:val="00AD160B"/>
    <w:rsid w:val="00AD260B"/>
    <w:rsid w:val="00AD2966"/>
    <w:rsid w:val="00AD2B99"/>
    <w:rsid w:val="00AD32ED"/>
    <w:rsid w:val="00AD46D3"/>
    <w:rsid w:val="00AD473D"/>
    <w:rsid w:val="00AD5707"/>
    <w:rsid w:val="00AD687D"/>
    <w:rsid w:val="00AD69EF"/>
    <w:rsid w:val="00AD6CC9"/>
    <w:rsid w:val="00AE05F3"/>
    <w:rsid w:val="00AE0B29"/>
    <w:rsid w:val="00AE346E"/>
    <w:rsid w:val="00AE43C0"/>
    <w:rsid w:val="00AE7008"/>
    <w:rsid w:val="00AF0759"/>
    <w:rsid w:val="00AF581E"/>
    <w:rsid w:val="00B01F97"/>
    <w:rsid w:val="00B020D8"/>
    <w:rsid w:val="00B040F8"/>
    <w:rsid w:val="00B04E2F"/>
    <w:rsid w:val="00B06AE7"/>
    <w:rsid w:val="00B10680"/>
    <w:rsid w:val="00B11414"/>
    <w:rsid w:val="00B13023"/>
    <w:rsid w:val="00B138C5"/>
    <w:rsid w:val="00B14672"/>
    <w:rsid w:val="00B1528A"/>
    <w:rsid w:val="00B16655"/>
    <w:rsid w:val="00B176C7"/>
    <w:rsid w:val="00B17B3A"/>
    <w:rsid w:val="00B260CB"/>
    <w:rsid w:val="00B2746D"/>
    <w:rsid w:val="00B30650"/>
    <w:rsid w:val="00B318DC"/>
    <w:rsid w:val="00B36160"/>
    <w:rsid w:val="00B402C2"/>
    <w:rsid w:val="00B4033F"/>
    <w:rsid w:val="00B40747"/>
    <w:rsid w:val="00B43E7C"/>
    <w:rsid w:val="00B44833"/>
    <w:rsid w:val="00B51110"/>
    <w:rsid w:val="00B5261A"/>
    <w:rsid w:val="00B52868"/>
    <w:rsid w:val="00B53274"/>
    <w:rsid w:val="00B536C7"/>
    <w:rsid w:val="00B55DD1"/>
    <w:rsid w:val="00B5793D"/>
    <w:rsid w:val="00B600FB"/>
    <w:rsid w:val="00B606A8"/>
    <w:rsid w:val="00B60B66"/>
    <w:rsid w:val="00B61749"/>
    <w:rsid w:val="00B63DC2"/>
    <w:rsid w:val="00B645CA"/>
    <w:rsid w:val="00B6610C"/>
    <w:rsid w:val="00B66122"/>
    <w:rsid w:val="00B74258"/>
    <w:rsid w:val="00B74998"/>
    <w:rsid w:val="00B769E1"/>
    <w:rsid w:val="00B81848"/>
    <w:rsid w:val="00B81CDF"/>
    <w:rsid w:val="00B81E03"/>
    <w:rsid w:val="00B8337A"/>
    <w:rsid w:val="00B841C1"/>
    <w:rsid w:val="00B85A2A"/>
    <w:rsid w:val="00B90454"/>
    <w:rsid w:val="00B91257"/>
    <w:rsid w:val="00B930EE"/>
    <w:rsid w:val="00B939F3"/>
    <w:rsid w:val="00B948BA"/>
    <w:rsid w:val="00B94A02"/>
    <w:rsid w:val="00B96FE3"/>
    <w:rsid w:val="00BA05ED"/>
    <w:rsid w:val="00BA1730"/>
    <w:rsid w:val="00BA17FA"/>
    <w:rsid w:val="00BA19D1"/>
    <w:rsid w:val="00BA2A2A"/>
    <w:rsid w:val="00BA3077"/>
    <w:rsid w:val="00BA6687"/>
    <w:rsid w:val="00BA7AAA"/>
    <w:rsid w:val="00BB0925"/>
    <w:rsid w:val="00BB1560"/>
    <w:rsid w:val="00BB1B3E"/>
    <w:rsid w:val="00BB24E8"/>
    <w:rsid w:val="00BB4435"/>
    <w:rsid w:val="00BB634E"/>
    <w:rsid w:val="00BB6E27"/>
    <w:rsid w:val="00BC049C"/>
    <w:rsid w:val="00BC36F4"/>
    <w:rsid w:val="00BC488C"/>
    <w:rsid w:val="00BC5AF1"/>
    <w:rsid w:val="00BC5C3C"/>
    <w:rsid w:val="00BC5ED9"/>
    <w:rsid w:val="00BC6D91"/>
    <w:rsid w:val="00BD1F9A"/>
    <w:rsid w:val="00BD3C9C"/>
    <w:rsid w:val="00BD405F"/>
    <w:rsid w:val="00BD40CC"/>
    <w:rsid w:val="00BD4814"/>
    <w:rsid w:val="00BE03C8"/>
    <w:rsid w:val="00BE14C9"/>
    <w:rsid w:val="00BE1917"/>
    <w:rsid w:val="00BE2139"/>
    <w:rsid w:val="00BE51A1"/>
    <w:rsid w:val="00BE613C"/>
    <w:rsid w:val="00BE62AB"/>
    <w:rsid w:val="00BE6D14"/>
    <w:rsid w:val="00BE7DEB"/>
    <w:rsid w:val="00BF3B45"/>
    <w:rsid w:val="00BF4815"/>
    <w:rsid w:val="00BF5320"/>
    <w:rsid w:val="00BF7FC1"/>
    <w:rsid w:val="00C0001A"/>
    <w:rsid w:val="00C03668"/>
    <w:rsid w:val="00C04153"/>
    <w:rsid w:val="00C056CF"/>
    <w:rsid w:val="00C07083"/>
    <w:rsid w:val="00C105A7"/>
    <w:rsid w:val="00C118DF"/>
    <w:rsid w:val="00C11D1F"/>
    <w:rsid w:val="00C130A0"/>
    <w:rsid w:val="00C13AA8"/>
    <w:rsid w:val="00C16728"/>
    <w:rsid w:val="00C16C06"/>
    <w:rsid w:val="00C21424"/>
    <w:rsid w:val="00C21828"/>
    <w:rsid w:val="00C226A6"/>
    <w:rsid w:val="00C22FE8"/>
    <w:rsid w:val="00C26DF9"/>
    <w:rsid w:val="00C32FD9"/>
    <w:rsid w:val="00C33685"/>
    <w:rsid w:val="00C34AE0"/>
    <w:rsid w:val="00C35C6A"/>
    <w:rsid w:val="00C364C9"/>
    <w:rsid w:val="00C36C15"/>
    <w:rsid w:val="00C36F1F"/>
    <w:rsid w:val="00C40A70"/>
    <w:rsid w:val="00C42B87"/>
    <w:rsid w:val="00C42CE8"/>
    <w:rsid w:val="00C433C4"/>
    <w:rsid w:val="00C43B73"/>
    <w:rsid w:val="00C44258"/>
    <w:rsid w:val="00C44867"/>
    <w:rsid w:val="00C46A95"/>
    <w:rsid w:val="00C5034A"/>
    <w:rsid w:val="00C50A20"/>
    <w:rsid w:val="00C51A55"/>
    <w:rsid w:val="00C54072"/>
    <w:rsid w:val="00C55E08"/>
    <w:rsid w:val="00C57176"/>
    <w:rsid w:val="00C57745"/>
    <w:rsid w:val="00C61178"/>
    <w:rsid w:val="00C619F4"/>
    <w:rsid w:val="00C62250"/>
    <w:rsid w:val="00C62BC8"/>
    <w:rsid w:val="00C63FA6"/>
    <w:rsid w:val="00C64955"/>
    <w:rsid w:val="00C6577B"/>
    <w:rsid w:val="00C6603A"/>
    <w:rsid w:val="00C670F8"/>
    <w:rsid w:val="00C67F6C"/>
    <w:rsid w:val="00C70C12"/>
    <w:rsid w:val="00C71762"/>
    <w:rsid w:val="00C73993"/>
    <w:rsid w:val="00C74D69"/>
    <w:rsid w:val="00C77692"/>
    <w:rsid w:val="00C77FB5"/>
    <w:rsid w:val="00C80368"/>
    <w:rsid w:val="00C830ED"/>
    <w:rsid w:val="00C844B5"/>
    <w:rsid w:val="00C84E38"/>
    <w:rsid w:val="00C85126"/>
    <w:rsid w:val="00C86922"/>
    <w:rsid w:val="00C86997"/>
    <w:rsid w:val="00C86FDF"/>
    <w:rsid w:val="00C87CC6"/>
    <w:rsid w:val="00C903B4"/>
    <w:rsid w:val="00C91E71"/>
    <w:rsid w:val="00C93B25"/>
    <w:rsid w:val="00C94182"/>
    <w:rsid w:val="00C95324"/>
    <w:rsid w:val="00C95838"/>
    <w:rsid w:val="00C97926"/>
    <w:rsid w:val="00CA1630"/>
    <w:rsid w:val="00CA1647"/>
    <w:rsid w:val="00CA2CC9"/>
    <w:rsid w:val="00CA2CEF"/>
    <w:rsid w:val="00CA3037"/>
    <w:rsid w:val="00CA33B5"/>
    <w:rsid w:val="00CA6D1B"/>
    <w:rsid w:val="00CA6ED6"/>
    <w:rsid w:val="00CA71DE"/>
    <w:rsid w:val="00CB0C5A"/>
    <w:rsid w:val="00CB333F"/>
    <w:rsid w:val="00CB33FB"/>
    <w:rsid w:val="00CB452F"/>
    <w:rsid w:val="00CB4F60"/>
    <w:rsid w:val="00CB6AF9"/>
    <w:rsid w:val="00CB7739"/>
    <w:rsid w:val="00CC0D62"/>
    <w:rsid w:val="00CC17D8"/>
    <w:rsid w:val="00CC1BC6"/>
    <w:rsid w:val="00CC5C72"/>
    <w:rsid w:val="00CC6253"/>
    <w:rsid w:val="00CC62BF"/>
    <w:rsid w:val="00CC664B"/>
    <w:rsid w:val="00CC6E3B"/>
    <w:rsid w:val="00CD20A0"/>
    <w:rsid w:val="00CD23EB"/>
    <w:rsid w:val="00CD275C"/>
    <w:rsid w:val="00CD681A"/>
    <w:rsid w:val="00CD746E"/>
    <w:rsid w:val="00CD79DC"/>
    <w:rsid w:val="00CE03AC"/>
    <w:rsid w:val="00CE1099"/>
    <w:rsid w:val="00CE1937"/>
    <w:rsid w:val="00CE1FF6"/>
    <w:rsid w:val="00CE32FA"/>
    <w:rsid w:val="00CE39B0"/>
    <w:rsid w:val="00CE44F1"/>
    <w:rsid w:val="00CE6317"/>
    <w:rsid w:val="00CE7BC9"/>
    <w:rsid w:val="00CF0077"/>
    <w:rsid w:val="00CF10F6"/>
    <w:rsid w:val="00CF1B5B"/>
    <w:rsid w:val="00CF35C2"/>
    <w:rsid w:val="00CF4A0D"/>
    <w:rsid w:val="00CF4CE0"/>
    <w:rsid w:val="00CF5208"/>
    <w:rsid w:val="00D0097A"/>
    <w:rsid w:val="00D011C4"/>
    <w:rsid w:val="00D01ECC"/>
    <w:rsid w:val="00D050BB"/>
    <w:rsid w:val="00D1093B"/>
    <w:rsid w:val="00D121F0"/>
    <w:rsid w:val="00D13284"/>
    <w:rsid w:val="00D1478B"/>
    <w:rsid w:val="00D14ED3"/>
    <w:rsid w:val="00D17FBF"/>
    <w:rsid w:val="00D231E0"/>
    <w:rsid w:val="00D275F8"/>
    <w:rsid w:val="00D277F1"/>
    <w:rsid w:val="00D303FD"/>
    <w:rsid w:val="00D3097F"/>
    <w:rsid w:val="00D31C56"/>
    <w:rsid w:val="00D32AAA"/>
    <w:rsid w:val="00D32EF3"/>
    <w:rsid w:val="00D33161"/>
    <w:rsid w:val="00D33A56"/>
    <w:rsid w:val="00D40581"/>
    <w:rsid w:val="00D41D1C"/>
    <w:rsid w:val="00D44981"/>
    <w:rsid w:val="00D459E7"/>
    <w:rsid w:val="00D47F2E"/>
    <w:rsid w:val="00D50520"/>
    <w:rsid w:val="00D51074"/>
    <w:rsid w:val="00D51712"/>
    <w:rsid w:val="00D52802"/>
    <w:rsid w:val="00D53074"/>
    <w:rsid w:val="00D54B67"/>
    <w:rsid w:val="00D55298"/>
    <w:rsid w:val="00D6581B"/>
    <w:rsid w:val="00D664E9"/>
    <w:rsid w:val="00D67795"/>
    <w:rsid w:val="00D70504"/>
    <w:rsid w:val="00D720CE"/>
    <w:rsid w:val="00D72F1B"/>
    <w:rsid w:val="00D73259"/>
    <w:rsid w:val="00D74379"/>
    <w:rsid w:val="00D756C3"/>
    <w:rsid w:val="00D75CB9"/>
    <w:rsid w:val="00D80365"/>
    <w:rsid w:val="00D804EB"/>
    <w:rsid w:val="00D813AA"/>
    <w:rsid w:val="00D83CCE"/>
    <w:rsid w:val="00D84BE0"/>
    <w:rsid w:val="00D8513B"/>
    <w:rsid w:val="00D87932"/>
    <w:rsid w:val="00D906E0"/>
    <w:rsid w:val="00D9123E"/>
    <w:rsid w:val="00D91742"/>
    <w:rsid w:val="00D91A96"/>
    <w:rsid w:val="00D942AA"/>
    <w:rsid w:val="00D948D3"/>
    <w:rsid w:val="00D9661C"/>
    <w:rsid w:val="00D96A86"/>
    <w:rsid w:val="00DA27BE"/>
    <w:rsid w:val="00DA4173"/>
    <w:rsid w:val="00DA63BA"/>
    <w:rsid w:val="00DA6C3F"/>
    <w:rsid w:val="00DB1F51"/>
    <w:rsid w:val="00DB4206"/>
    <w:rsid w:val="00DB4436"/>
    <w:rsid w:val="00DB4C3E"/>
    <w:rsid w:val="00DB568D"/>
    <w:rsid w:val="00DC021F"/>
    <w:rsid w:val="00DC032F"/>
    <w:rsid w:val="00DC3F5D"/>
    <w:rsid w:val="00DC45DB"/>
    <w:rsid w:val="00DC7CD4"/>
    <w:rsid w:val="00DD014D"/>
    <w:rsid w:val="00DD10AF"/>
    <w:rsid w:val="00DD1C1B"/>
    <w:rsid w:val="00DD1FFE"/>
    <w:rsid w:val="00DD2FB8"/>
    <w:rsid w:val="00DD5181"/>
    <w:rsid w:val="00DD5B99"/>
    <w:rsid w:val="00DD5E2C"/>
    <w:rsid w:val="00DD6660"/>
    <w:rsid w:val="00DE0864"/>
    <w:rsid w:val="00DE152E"/>
    <w:rsid w:val="00DE16F9"/>
    <w:rsid w:val="00DE3C3B"/>
    <w:rsid w:val="00DE48CF"/>
    <w:rsid w:val="00DE7EB0"/>
    <w:rsid w:val="00DE7F34"/>
    <w:rsid w:val="00DF1B98"/>
    <w:rsid w:val="00DF1D3A"/>
    <w:rsid w:val="00DF3E1A"/>
    <w:rsid w:val="00DF4B2B"/>
    <w:rsid w:val="00DF5EFF"/>
    <w:rsid w:val="00DF6554"/>
    <w:rsid w:val="00E00AA5"/>
    <w:rsid w:val="00E01431"/>
    <w:rsid w:val="00E02847"/>
    <w:rsid w:val="00E0288C"/>
    <w:rsid w:val="00E04A54"/>
    <w:rsid w:val="00E05091"/>
    <w:rsid w:val="00E15715"/>
    <w:rsid w:val="00E16BE4"/>
    <w:rsid w:val="00E20E1D"/>
    <w:rsid w:val="00E21F36"/>
    <w:rsid w:val="00E226F8"/>
    <w:rsid w:val="00E2331A"/>
    <w:rsid w:val="00E247CB"/>
    <w:rsid w:val="00E27867"/>
    <w:rsid w:val="00E305BD"/>
    <w:rsid w:val="00E31FFF"/>
    <w:rsid w:val="00E324E8"/>
    <w:rsid w:val="00E32DC3"/>
    <w:rsid w:val="00E3398B"/>
    <w:rsid w:val="00E459CF"/>
    <w:rsid w:val="00E45E38"/>
    <w:rsid w:val="00E47A6F"/>
    <w:rsid w:val="00E508F0"/>
    <w:rsid w:val="00E51556"/>
    <w:rsid w:val="00E5230E"/>
    <w:rsid w:val="00E525B2"/>
    <w:rsid w:val="00E52805"/>
    <w:rsid w:val="00E53A5E"/>
    <w:rsid w:val="00E6044D"/>
    <w:rsid w:val="00E60818"/>
    <w:rsid w:val="00E633FE"/>
    <w:rsid w:val="00E63A41"/>
    <w:rsid w:val="00E63D09"/>
    <w:rsid w:val="00E64879"/>
    <w:rsid w:val="00E64BA3"/>
    <w:rsid w:val="00E64F59"/>
    <w:rsid w:val="00E655FB"/>
    <w:rsid w:val="00E65831"/>
    <w:rsid w:val="00E67244"/>
    <w:rsid w:val="00E67FFE"/>
    <w:rsid w:val="00E7036C"/>
    <w:rsid w:val="00E70425"/>
    <w:rsid w:val="00E7113E"/>
    <w:rsid w:val="00E723BF"/>
    <w:rsid w:val="00E72644"/>
    <w:rsid w:val="00E72A1F"/>
    <w:rsid w:val="00E7504C"/>
    <w:rsid w:val="00E80546"/>
    <w:rsid w:val="00E849C8"/>
    <w:rsid w:val="00E84A4B"/>
    <w:rsid w:val="00E85CE9"/>
    <w:rsid w:val="00E903FD"/>
    <w:rsid w:val="00E91471"/>
    <w:rsid w:val="00E93ACE"/>
    <w:rsid w:val="00E945F2"/>
    <w:rsid w:val="00E963F0"/>
    <w:rsid w:val="00E97A98"/>
    <w:rsid w:val="00E97D8F"/>
    <w:rsid w:val="00E97DEB"/>
    <w:rsid w:val="00EA25D2"/>
    <w:rsid w:val="00EA3644"/>
    <w:rsid w:val="00EA63E5"/>
    <w:rsid w:val="00EA6F53"/>
    <w:rsid w:val="00EA7306"/>
    <w:rsid w:val="00EA7E74"/>
    <w:rsid w:val="00EB0CF6"/>
    <w:rsid w:val="00EB538D"/>
    <w:rsid w:val="00EB5707"/>
    <w:rsid w:val="00EB5D09"/>
    <w:rsid w:val="00EB7DEA"/>
    <w:rsid w:val="00EC0BDF"/>
    <w:rsid w:val="00EC0CF9"/>
    <w:rsid w:val="00EC347D"/>
    <w:rsid w:val="00EC3E2E"/>
    <w:rsid w:val="00EC408F"/>
    <w:rsid w:val="00EC4C73"/>
    <w:rsid w:val="00EC5EA3"/>
    <w:rsid w:val="00EC5EC3"/>
    <w:rsid w:val="00EC6CA7"/>
    <w:rsid w:val="00EC785E"/>
    <w:rsid w:val="00ED0CD5"/>
    <w:rsid w:val="00ED0DF0"/>
    <w:rsid w:val="00ED24B3"/>
    <w:rsid w:val="00ED4414"/>
    <w:rsid w:val="00ED4AB8"/>
    <w:rsid w:val="00EE2615"/>
    <w:rsid w:val="00EE29F5"/>
    <w:rsid w:val="00EE4AC0"/>
    <w:rsid w:val="00EE4FD5"/>
    <w:rsid w:val="00EE7ECC"/>
    <w:rsid w:val="00EE7EE6"/>
    <w:rsid w:val="00EF1344"/>
    <w:rsid w:val="00EF3CCE"/>
    <w:rsid w:val="00EF5C10"/>
    <w:rsid w:val="00EF61BC"/>
    <w:rsid w:val="00F0224A"/>
    <w:rsid w:val="00F0297A"/>
    <w:rsid w:val="00F02C57"/>
    <w:rsid w:val="00F03CBE"/>
    <w:rsid w:val="00F07066"/>
    <w:rsid w:val="00F108B1"/>
    <w:rsid w:val="00F10CD1"/>
    <w:rsid w:val="00F12F21"/>
    <w:rsid w:val="00F1580E"/>
    <w:rsid w:val="00F15E46"/>
    <w:rsid w:val="00F16588"/>
    <w:rsid w:val="00F166CE"/>
    <w:rsid w:val="00F1733F"/>
    <w:rsid w:val="00F201E5"/>
    <w:rsid w:val="00F21D7B"/>
    <w:rsid w:val="00F22069"/>
    <w:rsid w:val="00F23147"/>
    <w:rsid w:val="00F24032"/>
    <w:rsid w:val="00F24EB1"/>
    <w:rsid w:val="00F25E4B"/>
    <w:rsid w:val="00F308CB"/>
    <w:rsid w:val="00F31214"/>
    <w:rsid w:val="00F321DE"/>
    <w:rsid w:val="00F369E7"/>
    <w:rsid w:val="00F42F14"/>
    <w:rsid w:val="00F430AC"/>
    <w:rsid w:val="00F443ED"/>
    <w:rsid w:val="00F46445"/>
    <w:rsid w:val="00F47325"/>
    <w:rsid w:val="00F507AF"/>
    <w:rsid w:val="00F514AD"/>
    <w:rsid w:val="00F51B5C"/>
    <w:rsid w:val="00F5456B"/>
    <w:rsid w:val="00F56D4C"/>
    <w:rsid w:val="00F573CC"/>
    <w:rsid w:val="00F579D5"/>
    <w:rsid w:val="00F57CA7"/>
    <w:rsid w:val="00F60B98"/>
    <w:rsid w:val="00F648DB"/>
    <w:rsid w:val="00F664E2"/>
    <w:rsid w:val="00F67A62"/>
    <w:rsid w:val="00F83C32"/>
    <w:rsid w:val="00F8573C"/>
    <w:rsid w:val="00F864E1"/>
    <w:rsid w:val="00F87078"/>
    <w:rsid w:val="00F87952"/>
    <w:rsid w:val="00F9003A"/>
    <w:rsid w:val="00F9331F"/>
    <w:rsid w:val="00F94E48"/>
    <w:rsid w:val="00F96292"/>
    <w:rsid w:val="00F96939"/>
    <w:rsid w:val="00F97DB7"/>
    <w:rsid w:val="00F97FD1"/>
    <w:rsid w:val="00FA14C5"/>
    <w:rsid w:val="00FA3662"/>
    <w:rsid w:val="00FA3A5E"/>
    <w:rsid w:val="00FA4FEA"/>
    <w:rsid w:val="00FA7154"/>
    <w:rsid w:val="00FA719A"/>
    <w:rsid w:val="00FB010E"/>
    <w:rsid w:val="00FB0851"/>
    <w:rsid w:val="00FB2C2A"/>
    <w:rsid w:val="00FB3DC4"/>
    <w:rsid w:val="00FB4608"/>
    <w:rsid w:val="00FB4F9A"/>
    <w:rsid w:val="00FB63A9"/>
    <w:rsid w:val="00FB6A38"/>
    <w:rsid w:val="00FB7D85"/>
    <w:rsid w:val="00FC0BC1"/>
    <w:rsid w:val="00FC35B8"/>
    <w:rsid w:val="00FC39E7"/>
    <w:rsid w:val="00FC3E06"/>
    <w:rsid w:val="00FC5F3B"/>
    <w:rsid w:val="00FD1991"/>
    <w:rsid w:val="00FD200E"/>
    <w:rsid w:val="00FD2191"/>
    <w:rsid w:val="00FD3B1F"/>
    <w:rsid w:val="00FD3E2A"/>
    <w:rsid w:val="00FD6754"/>
    <w:rsid w:val="00FD6C26"/>
    <w:rsid w:val="00FD7C5E"/>
    <w:rsid w:val="00FE0822"/>
    <w:rsid w:val="00FE123C"/>
    <w:rsid w:val="00FE13F2"/>
    <w:rsid w:val="00FE159A"/>
    <w:rsid w:val="00FE3410"/>
    <w:rsid w:val="00FE43C9"/>
    <w:rsid w:val="00FE447F"/>
    <w:rsid w:val="00FE450B"/>
    <w:rsid w:val="00FE4792"/>
    <w:rsid w:val="00FE4B5C"/>
    <w:rsid w:val="00FE7648"/>
    <w:rsid w:val="00FE77E6"/>
    <w:rsid w:val="00FF42DB"/>
    <w:rsid w:val="00FF47E0"/>
    <w:rsid w:val="00FF57BC"/>
    <w:rsid w:val="00FF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3D4"/>
    <w:pPr>
      <w:spacing w:after="220"/>
      <w:jc w:val="both"/>
    </w:pPr>
    <w:rPr>
      <w:rFonts w:ascii="Arial" w:hAnsi="Arial"/>
      <w:sz w:val="20"/>
      <w:szCs w:val="20"/>
      <w:lang w:eastAsia="en-US"/>
    </w:rPr>
  </w:style>
  <w:style w:type="paragraph" w:styleId="Heading1">
    <w:name w:val="heading 1"/>
    <w:basedOn w:val="Normal"/>
    <w:next w:val="Normal"/>
    <w:link w:val="Heading1Char"/>
    <w:uiPriority w:val="99"/>
    <w:qFormat/>
    <w:rsid w:val="004743D4"/>
    <w:pPr>
      <w:numPr>
        <w:numId w:val="14"/>
      </w:numPr>
      <w:outlineLvl w:val="0"/>
    </w:pPr>
  </w:style>
  <w:style w:type="paragraph" w:styleId="Heading2">
    <w:name w:val="heading 2"/>
    <w:basedOn w:val="Normal"/>
    <w:next w:val="Normal"/>
    <w:link w:val="Heading2Char"/>
    <w:uiPriority w:val="99"/>
    <w:qFormat/>
    <w:rsid w:val="004743D4"/>
    <w:pPr>
      <w:numPr>
        <w:ilvl w:val="1"/>
        <w:numId w:val="14"/>
      </w:numPr>
      <w:outlineLvl w:val="1"/>
    </w:pPr>
  </w:style>
  <w:style w:type="paragraph" w:styleId="Heading3">
    <w:name w:val="heading 3"/>
    <w:basedOn w:val="Normal"/>
    <w:next w:val="Normal"/>
    <w:link w:val="Heading3Char"/>
    <w:uiPriority w:val="99"/>
    <w:qFormat/>
    <w:rsid w:val="004743D4"/>
    <w:pPr>
      <w:numPr>
        <w:ilvl w:val="2"/>
        <w:numId w:val="14"/>
      </w:numPr>
      <w:outlineLvl w:val="2"/>
    </w:pPr>
  </w:style>
  <w:style w:type="paragraph" w:styleId="Heading4">
    <w:name w:val="heading 4"/>
    <w:basedOn w:val="Normal"/>
    <w:next w:val="Normal"/>
    <w:link w:val="Heading4Char"/>
    <w:uiPriority w:val="99"/>
    <w:qFormat/>
    <w:rsid w:val="004743D4"/>
    <w:pPr>
      <w:numPr>
        <w:ilvl w:val="3"/>
        <w:numId w:val="14"/>
      </w:numPr>
      <w:tabs>
        <w:tab w:val="left" w:pos="2880"/>
      </w:tabs>
      <w:outlineLvl w:val="3"/>
    </w:pPr>
  </w:style>
  <w:style w:type="paragraph" w:styleId="Heading5">
    <w:name w:val="heading 5"/>
    <w:basedOn w:val="Normal"/>
    <w:next w:val="Normal"/>
    <w:link w:val="Heading5Char"/>
    <w:uiPriority w:val="99"/>
    <w:qFormat/>
    <w:rsid w:val="004743D4"/>
    <w:pPr>
      <w:numPr>
        <w:ilvl w:val="4"/>
        <w:numId w:val="14"/>
      </w:numPr>
      <w:tabs>
        <w:tab w:val="left" w:pos="2880"/>
      </w:tabs>
      <w:outlineLvl w:val="4"/>
    </w:pPr>
  </w:style>
  <w:style w:type="paragraph" w:styleId="Heading6">
    <w:name w:val="heading 6"/>
    <w:basedOn w:val="Normal"/>
    <w:next w:val="Normal"/>
    <w:link w:val="Heading6Char"/>
    <w:uiPriority w:val="99"/>
    <w:qFormat/>
    <w:rsid w:val="004743D4"/>
    <w:pPr>
      <w:numPr>
        <w:ilvl w:val="5"/>
        <w:numId w:val="14"/>
      </w:numPr>
      <w:tabs>
        <w:tab w:val="left" w:pos="3600"/>
      </w:tabs>
      <w:outlineLvl w:val="5"/>
    </w:pPr>
  </w:style>
  <w:style w:type="paragraph" w:styleId="Heading7">
    <w:name w:val="heading 7"/>
    <w:basedOn w:val="Normal"/>
    <w:next w:val="Normal"/>
    <w:link w:val="Heading7Char"/>
    <w:uiPriority w:val="99"/>
    <w:qFormat/>
    <w:rsid w:val="004743D4"/>
    <w:pPr>
      <w:numPr>
        <w:ilvl w:val="6"/>
        <w:numId w:val="14"/>
      </w:numPr>
      <w:tabs>
        <w:tab w:val="left" w:pos="4320"/>
      </w:tabs>
      <w:outlineLvl w:val="6"/>
    </w:pPr>
  </w:style>
  <w:style w:type="paragraph" w:styleId="Heading8">
    <w:name w:val="heading 8"/>
    <w:basedOn w:val="Normal"/>
    <w:next w:val="Normal"/>
    <w:link w:val="Heading8Char"/>
    <w:uiPriority w:val="99"/>
    <w:qFormat/>
    <w:rsid w:val="004743D4"/>
    <w:pPr>
      <w:numPr>
        <w:ilvl w:val="7"/>
        <w:numId w:val="14"/>
      </w:numPr>
      <w:tabs>
        <w:tab w:val="left" w:pos="5040"/>
      </w:tabs>
      <w:outlineLvl w:val="7"/>
    </w:pPr>
  </w:style>
  <w:style w:type="paragraph" w:styleId="Heading9">
    <w:name w:val="heading 9"/>
    <w:basedOn w:val="Normal"/>
    <w:next w:val="Normal"/>
    <w:link w:val="Heading9Char"/>
    <w:uiPriority w:val="99"/>
    <w:qFormat/>
    <w:rsid w:val="004743D4"/>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3D4"/>
    <w:rPr>
      <w:rFonts w:ascii="Arial" w:hAnsi="Arial"/>
      <w:sz w:val="20"/>
      <w:szCs w:val="20"/>
      <w:lang w:eastAsia="en-US"/>
    </w:rPr>
  </w:style>
  <w:style w:type="character" w:customStyle="1" w:styleId="Heading2Char">
    <w:name w:val="Heading 2 Char"/>
    <w:basedOn w:val="DefaultParagraphFont"/>
    <w:link w:val="Heading2"/>
    <w:uiPriority w:val="99"/>
    <w:locked/>
    <w:rsid w:val="004743D4"/>
    <w:rPr>
      <w:rFonts w:ascii="Arial" w:hAnsi="Arial"/>
      <w:sz w:val="20"/>
      <w:szCs w:val="20"/>
      <w:lang w:eastAsia="en-US"/>
    </w:rPr>
  </w:style>
  <w:style w:type="character" w:customStyle="1" w:styleId="Heading3Char">
    <w:name w:val="Heading 3 Char"/>
    <w:basedOn w:val="DefaultParagraphFont"/>
    <w:link w:val="Heading3"/>
    <w:uiPriority w:val="99"/>
    <w:locked/>
    <w:rsid w:val="004743D4"/>
    <w:rPr>
      <w:rFonts w:ascii="Arial" w:hAnsi="Arial"/>
      <w:sz w:val="20"/>
      <w:szCs w:val="20"/>
      <w:lang w:eastAsia="en-US"/>
    </w:rPr>
  </w:style>
  <w:style w:type="character" w:customStyle="1" w:styleId="Heading4Char">
    <w:name w:val="Heading 4 Char"/>
    <w:basedOn w:val="DefaultParagraphFont"/>
    <w:link w:val="Heading4"/>
    <w:uiPriority w:val="99"/>
    <w:locked/>
    <w:rsid w:val="004743D4"/>
    <w:rPr>
      <w:rFonts w:ascii="Arial" w:hAnsi="Arial"/>
      <w:sz w:val="20"/>
      <w:szCs w:val="20"/>
      <w:lang w:eastAsia="en-US"/>
    </w:rPr>
  </w:style>
  <w:style w:type="character" w:customStyle="1" w:styleId="Heading5Char">
    <w:name w:val="Heading 5 Char"/>
    <w:basedOn w:val="DefaultParagraphFont"/>
    <w:link w:val="Heading5"/>
    <w:uiPriority w:val="99"/>
    <w:locked/>
    <w:rsid w:val="004743D4"/>
    <w:rPr>
      <w:rFonts w:ascii="Arial" w:hAnsi="Arial"/>
      <w:sz w:val="20"/>
      <w:szCs w:val="20"/>
      <w:lang w:eastAsia="en-US"/>
    </w:rPr>
  </w:style>
  <w:style w:type="character" w:customStyle="1" w:styleId="Heading6Char">
    <w:name w:val="Heading 6 Char"/>
    <w:basedOn w:val="DefaultParagraphFont"/>
    <w:link w:val="Heading6"/>
    <w:uiPriority w:val="99"/>
    <w:locked/>
    <w:rsid w:val="004743D4"/>
    <w:rPr>
      <w:rFonts w:ascii="Arial" w:hAnsi="Arial"/>
      <w:sz w:val="20"/>
      <w:szCs w:val="20"/>
      <w:lang w:eastAsia="en-US"/>
    </w:rPr>
  </w:style>
  <w:style w:type="character" w:customStyle="1" w:styleId="Heading7Char">
    <w:name w:val="Heading 7 Char"/>
    <w:basedOn w:val="DefaultParagraphFont"/>
    <w:link w:val="Heading7"/>
    <w:uiPriority w:val="99"/>
    <w:locked/>
    <w:rsid w:val="004743D4"/>
    <w:rPr>
      <w:rFonts w:ascii="Arial" w:hAnsi="Arial"/>
      <w:sz w:val="20"/>
      <w:szCs w:val="20"/>
      <w:lang w:eastAsia="en-US"/>
    </w:rPr>
  </w:style>
  <w:style w:type="character" w:customStyle="1" w:styleId="Heading8Char">
    <w:name w:val="Heading 8 Char"/>
    <w:basedOn w:val="DefaultParagraphFont"/>
    <w:link w:val="Heading8"/>
    <w:uiPriority w:val="99"/>
    <w:locked/>
    <w:rsid w:val="004743D4"/>
    <w:rPr>
      <w:rFonts w:ascii="Arial" w:hAnsi="Arial"/>
      <w:sz w:val="20"/>
      <w:szCs w:val="20"/>
      <w:lang w:eastAsia="en-US"/>
    </w:rPr>
  </w:style>
  <w:style w:type="character" w:customStyle="1" w:styleId="Heading9Char">
    <w:name w:val="Heading 9 Char"/>
    <w:basedOn w:val="DefaultParagraphFont"/>
    <w:link w:val="Heading9"/>
    <w:uiPriority w:val="99"/>
    <w:locked/>
    <w:rsid w:val="004743D4"/>
    <w:rPr>
      <w:rFonts w:ascii="Arial" w:hAnsi="Arial"/>
      <w:sz w:val="20"/>
      <w:szCs w:val="20"/>
      <w:lang w:eastAsia="en-US"/>
    </w:rPr>
  </w:style>
  <w:style w:type="paragraph" w:styleId="Header">
    <w:name w:val="header"/>
    <w:basedOn w:val="Normal"/>
    <w:link w:val="HeaderChar"/>
    <w:uiPriority w:val="99"/>
    <w:semiHidden/>
    <w:rsid w:val="004743D4"/>
    <w:pPr>
      <w:tabs>
        <w:tab w:val="center" w:pos="4153"/>
        <w:tab w:val="right" w:pos="8306"/>
      </w:tabs>
    </w:pPr>
  </w:style>
  <w:style w:type="character" w:customStyle="1" w:styleId="HeaderChar">
    <w:name w:val="Header Char"/>
    <w:basedOn w:val="DefaultParagraphFont"/>
    <w:link w:val="Header"/>
    <w:uiPriority w:val="99"/>
    <w:semiHidden/>
    <w:locked/>
    <w:rsid w:val="004743D4"/>
    <w:rPr>
      <w:rFonts w:ascii="Arial" w:hAnsi="Arial" w:cs="Times New Roman"/>
      <w:sz w:val="20"/>
      <w:szCs w:val="20"/>
      <w:lang w:eastAsia="en-US"/>
    </w:rPr>
  </w:style>
  <w:style w:type="paragraph" w:styleId="Footer">
    <w:name w:val="footer"/>
    <w:basedOn w:val="Normal"/>
    <w:link w:val="FooterChar"/>
    <w:uiPriority w:val="99"/>
    <w:semiHidden/>
    <w:rsid w:val="004743D4"/>
    <w:pPr>
      <w:tabs>
        <w:tab w:val="center" w:pos="4153"/>
        <w:tab w:val="right" w:pos="8306"/>
      </w:tabs>
      <w:spacing w:after="0"/>
      <w:jc w:val="right"/>
    </w:pPr>
    <w:rPr>
      <w:sz w:val="16"/>
      <w:szCs w:val="16"/>
    </w:rPr>
  </w:style>
  <w:style w:type="character" w:customStyle="1" w:styleId="FooterChar">
    <w:name w:val="Footer Char"/>
    <w:basedOn w:val="DefaultParagraphFont"/>
    <w:link w:val="Footer"/>
    <w:uiPriority w:val="99"/>
    <w:semiHidden/>
    <w:locked/>
    <w:rsid w:val="004743D4"/>
    <w:rPr>
      <w:rFonts w:ascii="Arial" w:hAnsi="Arial" w:cs="Times New Roman"/>
      <w:sz w:val="16"/>
      <w:szCs w:val="16"/>
      <w:lang w:eastAsia="en-US"/>
    </w:rPr>
  </w:style>
  <w:style w:type="paragraph" w:styleId="Index1">
    <w:name w:val="index 1"/>
    <w:basedOn w:val="Normal"/>
    <w:next w:val="Normal"/>
    <w:uiPriority w:val="99"/>
    <w:semiHidden/>
    <w:rsid w:val="00416A25"/>
    <w:pPr>
      <w:ind w:left="220" w:hanging="220"/>
    </w:pPr>
  </w:style>
  <w:style w:type="paragraph" w:styleId="Index2">
    <w:name w:val="index 2"/>
    <w:basedOn w:val="Normal"/>
    <w:next w:val="Normal"/>
    <w:uiPriority w:val="99"/>
    <w:semiHidden/>
    <w:rsid w:val="00416A25"/>
    <w:pPr>
      <w:ind w:left="440" w:hanging="220"/>
    </w:pPr>
  </w:style>
  <w:style w:type="paragraph" w:styleId="Index3">
    <w:name w:val="index 3"/>
    <w:basedOn w:val="Normal"/>
    <w:next w:val="Normal"/>
    <w:uiPriority w:val="99"/>
    <w:semiHidden/>
    <w:rsid w:val="00416A25"/>
    <w:pPr>
      <w:ind w:left="660" w:hanging="220"/>
    </w:pPr>
  </w:style>
  <w:style w:type="paragraph" w:styleId="Index4">
    <w:name w:val="index 4"/>
    <w:basedOn w:val="Normal"/>
    <w:next w:val="Normal"/>
    <w:uiPriority w:val="99"/>
    <w:semiHidden/>
    <w:rsid w:val="00416A25"/>
    <w:pPr>
      <w:ind w:left="880" w:hanging="220"/>
    </w:pPr>
  </w:style>
  <w:style w:type="paragraph" w:styleId="Index5">
    <w:name w:val="index 5"/>
    <w:basedOn w:val="Normal"/>
    <w:next w:val="Normal"/>
    <w:uiPriority w:val="99"/>
    <w:semiHidden/>
    <w:rsid w:val="00416A25"/>
    <w:pPr>
      <w:ind w:left="1100" w:hanging="220"/>
    </w:pPr>
  </w:style>
  <w:style w:type="paragraph" w:styleId="Index6">
    <w:name w:val="index 6"/>
    <w:basedOn w:val="Normal"/>
    <w:next w:val="Normal"/>
    <w:uiPriority w:val="99"/>
    <w:semiHidden/>
    <w:rsid w:val="00416A25"/>
    <w:pPr>
      <w:ind w:left="1320" w:hanging="220"/>
    </w:pPr>
  </w:style>
  <w:style w:type="paragraph" w:styleId="Index7">
    <w:name w:val="index 7"/>
    <w:basedOn w:val="Normal"/>
    <w:next w:val="Normal"/>
    <w:uiPriority w:val="99"/>
    <w:semiHidden/>
    <w:rsid w:val="00416A25"/>
    <w:pPr>
      <w:ind w:left="1540" w:hanging="220"/>
    </w:pPr>
  </w:style>
  <w:style w:type="paragraph" w:styleId="Index8">
    <w:name w:val="index 8"/>
    <w:basedOn w:val="Normal"/>
    <w:next w:val="Normal"/>
    <w:uiPriority w:val="99"/>
    <w:semiHidden/>
    <w:rsid w:val="00416A25"/>
    <w:pPr>
      <w:ind w:left="1760" w:hanging="220"/>
    </w:pPr>
  </w:style>
  <w:style w:type="paragraph" w:styleId="Index9">
    <w:name w:val="index 9"/>
    <w:basedOn w:val="Normal"/>
    <w:next w:val="Normal"/>
    <w:uiPriority w:val="99"/>
    <w:semiHidden/>
    <w:rsid w:val="00416A25"/>
    <w:pPr>
      <w:ind w:left="1980" w:hanging="220"/>
    </w:pPr>
  </w:style>
  <w:style w:type="paragraph" w:styleId="TOC1">
    <w:name w:val="toc 1"/>
    <w:basedOn w:val="Normal"/>
    <w:next w:val="Normal"/>
    <w:uiPriority w:val="99"/>
    <w:rsid w:val="00416A25"/>
    <w:pPr>
      <w:tabs>
        <w:tab w:val="right" w:leader="dot" w:pos="9020"/>
      </w:tabs>
      <w:spacing w:after="240"/>
      <w:ind w:left="864" w:right="864" w:hanging="864"/>
    </w:pPr>
  </w:style>
  <w:style w:type="paragraph" w:styleId="TOC2">
    <w:name w:val="toc 2"/>
    <w:basedOn w:val="TOC1"/>
    <w:next w:val="Normal"/>
    <w:uiPriority w:val="99"/>
    <w:rsid w:val="00416A25"/>
    <w:pPr>
      <w:ind w:left="1728"/>
    </w:pPr>
  </w:style>
  <w:style w:type="paragraph" w:styleId="TOC3">
    <w:name w:val="toc 3"/>
    <w:basedOn w:val="TOC1"/>
    <w:next w:val="Normal"/>
    <w:uiPriority w:val="99"/>
    <w:rsid w:val="00416A25"/>
    <w:pPr>
      <w:ind w:left="2592"/>
    </w:pPr>
  </w:style>
  <w:style w:type="paragraph" w:styleId="TOC4">
    <w:name w:val="toc 4"/>
    <w:basedOn w:val="TOC1"/>
    <w:next w:val="Normal"/>
    <w:uiPriority w:val="99"/>
    <w:rsid w:val="00416A25"/>
    <w:pPr>
      <w:ind w:left="0" w:firstLine="0"/>
    </w:pPr>
  </w:style>
  <w:style w:type="paragraph" w:styleId="TOC5">
    <w:name w:val="toc 5"/>
    <w:basedOn w:val="TOC1"/>
    <w:next w:val="Normal"/>
    <w:uiPriority w:val="99"/>
    <w:rsid w:val="00416A25"/>
    <w:pPr>
      <w:ind w:firstLine="0"/>
    </w:pPr>
  </w:style>
  <w:style w:type="paragraph" w:styleId="TOC6">
    <w:name w:val="toc 6"/>
    <w:basedOn w:val="Normal"/>
    <w:next w:val="Normal"/>
    <w:uiPriority w:val="99"/>
    <w:semiHidden/>
    <w:rsid w:val="00416A25"/>
    <w:pPr>
      <w:ind w:left="1100"/>
    </w:pPr>
  </w:style>
  <w:style w:type="paragraph" w:styleId="TOC7">
    <w:name w:val="toc 7"/>
    <w:basedOn w:val="Normal"/>
    <w:next w:val="Normal"/>
    <w:uiPriority w:val="99"/>
    <w:semiHidden/>
    <w:rsid w:val="00416A25"/>
    <w:pPr>
      <w:ind w:left="1320"/>
    </w:pPr>
  </w:style>
  <w:style w:type="paragraph" w:styleId="TOC8">
    <w:name w:val="toc 8"/>
    <w:basedOn w:val="Normal"/>
    <w:next w:val="Normal"/>
    <w:uiPriority w:val="99"/>
    <w:semiHidden/>
    <w:rsid w:val="00416A25"/>
    <w:pPr>
      <w:ind w:left="1540"/>
    </w:pPr>
  </w:style>
  <w:style w:type="paragraph" w:styleId="TOC9">
    <w:name w:val="toc 9"/>
    <w:basedOn w:val="Normal"/>
    <w:next w:val="Normal"/>
    <w:uiPriority w:val="99"/>
    <w:semiHidden/>
    <w:rsid w:val="00416A25"/>
    <w:pPr>
      <w:ind w:left="1760"/>
    </w:pPr>
  </w:style>
  <w:style w:type="paragraph" w:customStyle="1" w:styleId="Body">
    <w:name w:val="Body"/>
    <w:basedOn w:val="Normal"/>
    <w:link w:val="BodyChar"/>
    <w:uiPriority w:val="99"/>
    <w:rsid w:val="00416A25"/>
    <w:rPr>
      <w:rFonts w:ascii="Times New Roman" w:hAnsi="Times New Roman"/>
      <w:sz w:val="22"/>
      <w:lang w:eastAsia="en-GB"/>
    </w:rPr>
  </w:style>
  <w:style w:type="paragraph" w:customStyle="1" w:styleId="DefinitionBody1">
    <w:name w:val="Definition Body 1"/>
    <w:basedOn w:val="Body"/>
    <w:uiPriority w:val="99"/>
    <w:rsid w:val="00416A25"/>
    <w:pPr>
      <w:ind w:left="864"/>
    </w:pPr>
  </w:style>
  <w:style w:type="paragraph" w:customStyle="1" w:styleId="Definition1">
    <w:name w:val="Definition 1"/>
    <w:basedOn w:val="DefinitionBody1"/>
    <w:uiPriority w:val="99"/>
    <w:rsid w:val="00416A25"/>
    <w:pPr>
      <w:numPr>
        <w:numId w:val="1"/>
      </w:numPr>
      <w:outlineLvl w:val="0"/>
    </w:pPr>
  </w:style>
  <w:style w:type="paragraph" w:customStyle="1" w:styleId="DefinitionBody2">
    <w:name w:val="Definition Body 2"/>
    <w:basedOn w:val="Body"/>
    <w:uiPriority w:val="99"/>
    <w:rsid w:val="00416A25"/>
    <w:pPr>
      <w:ind w:left="1728"/>
    </w:pPr>
  </w:style>
  <w:style w:type="paragraph" w:customStyle="1" w:styleId="Definition2">
    <w:name w:val="Definition 2"/>
    <w:basedOn w:val="DefinitionBody2"/>
    <w:uiPriority w:val="99"/>
    <w:rsid w:val="00416A25"/>
    <w:pPr>
      <w:numPr>
        <w:ilvl w:val="1"/>
        <w:numId w:val="1"/>
      </w:numPr>
      <w:outlineLvl w:val="1"/>
    </w:pPr>
  </w:style>
  <w:style w:type="paragraph" w:customStyle="1" w:styleId="DefinitionHeading">
    <w:name w:val="Definition Heading"/>
    <w:basedOn w:val="Body"/>
    <w:uiPriority w:val="99"/>
    <w:rsid w:val="00416A25"/>
    <w:pPr>
      <w:ind w:left="105" w:hanging="105"/>
      <w:jc w:val="left"/>
    </w:pPr>
    <w:rPr>
      <w:b/>
      <w:bCs/>
    </w:rPr>
  </w:style>
  <w:style w:type="paragraph" w:customStyle="1" w:styleId="ScheduleHeading">
    <w:name w:val="Schedule Heading"/>
    <w:basedOn w:val="Body"/>
    <w:next w:val="ScheduleSubHeading"/>
    <w:link w:val="ScheduleHeadingChar"/>
    <w:uiPriority w:val="99"/>
    <w:rsid w:val="00416A25"/>
    <w:pPr>
      <w:keepNext/>
      <w:numPr>
        <w:numId w:val="2"/>
      </w:numPr>
      <w:jc w:val="center"/>
    </w:pPr>
    <w:rPr>
      <w:b/>
      <w:bCs/>
      <w:caps/>
      <w:sz w:val="20"/>
      <w:lang w:eastAsia="zh-CN"/>
    </w:rPr>
  </w:style>
  <w:style w:type="paragraph" w:customStyle="1" w:styleId="ScheduleSubHeading">
    <w:name w:val="Schedule Sub Heading"/>
    <w:basedOn w:val="Body"/>
    <w:next w:val="Body"/>
    <w:uiPriority w:val="99"/>
    <w:rsid w:val="00416A25"/>
    <w:pPr>
      <w:keepNext/>
      <w:numPr>
        <w:ilvl w:val="1"/>
        <w:numId w:val="2"/>
      </w:numPr>
      <w:jc w:val="center"/>
    </w:pPr>
    <w:rPr>
      <w:b/>
      <w:bCs/>
    </w:rPr>
  </w:style>
  <w:style w:type="paragraph" w:customStyle="1" w:styleId="Body1">
    <w:name w:val="Body 1"/>
    <w:basedOn w:val="Normal"/>
    <w:link w:val="Body1Char"/>
    <w:uiPriority w:val="99"/>
    <w:rsid w:val="004743D4"/>
    <w:pPr>
      <w:ind w:left="864"/>
    </w:pPr>
  </w:style>
  <w:style w:type="paragraph" w:customStyle="1" w:styleId="Level1">
    <w:name w:val="Level 1"/>
    <w:basedOn w:val="Body1"/>
    <w:uiPriority w:val="99"/>
    <w:rsid w:val="00416A25"/>
    <w:pPr>
      <w:numPr>
        <w:numId w:val="4"/>
      </w:numPr>
      <w:outlineLvl w:val="0"/>
    </w:pPr>
  </w:style>
  <w:style w:type="character" w:customStyle="1" w:styleId="Level1asHeadingtext">
    <w:name w:val="Level 1 as Heading (text)"/>
    <w:uiPriority w:val="99"/>
    <w:rsid w:val="00416A25"/>
    <w:rPr>
      <w:b/>
      <w:caps/>
    </w:rPr>
  </w:style>
  <w:style w:type="paragraph" w:customStyle="1" w:styleId="Body2">
    <w:name w:val="Body 2"/>
    <w:basedOn w:val="Normal"/>
    <w:link w:val="Body2Char"/>
    <w:uiPriority w:val="99"/>
    <w:rsid w:val="004743D4"/>
    <w:pPr>
      <w:ind w:left="864"/>
    </w:pPr>
  </w:style>
  <w:style w:type="paragraph" w:customStyle="1" w:styleId="Level2">
    <w:name w:val="Level 2"/>
    <w:basedOn w:val="Body2"/>
    <w:uiPriority w:val="99"/>
    <w:rsid w:val="00416A25"/>
    <w:pPr>
      <w:numPr>
        <w:ilvl w:val="1"/>
        <w:numId w:val="4"/>
      </w:numPr>
      <w:outlineLvl w:val="1"/>
    </w:pPr>
  </w:style>
  <w:style w:type="character" w:customStyle="1" w:styleId="Level2asHeadingtext">
    <w:name w:val="Level 2 as Heading (text)"/>
    <w:uiPriority w:val="99"/>
    <w:rsid w:val="00416A25"/>
    <w:rPr>
      <w:b/>
    </w:rPr>
  </w:style>
  <w:style w:type="paragraph" w:customStyle="1" w:styleId="Body3">
    <w:name w:val="Body 3"/>
    <w:basedOn w:val="Normal"/>
    <w:uiPriority w:val="99"/>
    <w:rsid w:val="004743D4"/>
    <w:pPr>
      <w:ind w:left="2016"/>
    </w:pPr>
  </w:style>
  <w:style w:type="paragraph" w:customStyle="1" w:styleId="Level3">
    <w:name w:val="Level 3"/>
    <w:basedOn w:val="Body3"/>
    <w:uiPriority w:val="99"/>
    <w:rsid w:val="00416A25"/>
    <w:pPr>
      <w:numPr>
        <w:ilvl w:val="2"/>
        <w:numId w:val="4"/>
      </w:numPr>
      <w:outlineLvl w:val="2"/>
    </w:pPr>
  </w:style>
  <w:style w:type="character" w:customStyle="1" w:styleId="Level3asHeadingtext">
    <w:name w:val="Level 3 as Heading (text)"/>
    <w:uiPriority w:val="99"/>
    <w:rsid w:val="00416A25"/>
    <w:rPr>
      <w:b/>
    </w:rPr>
  </w:style>
  <w:style w:type="paragraph" w:customStyle="1" w:styleId="Body4">
    <w:name w:val="Body 4"/>
    <w:basedOn w:val="Normal"/>
    <w:uiPriority w:val="99"/>
    <w:rsid w:val="004743D4"/>
    <w:pPr>
      <w:ind w:left="3456"/>
    </w:pPr>
  </w:style>
  <w:style w:type="paragraph" w:customStyle="1" w:styleId="Level4">
    <w:name w:val="Level 4"/>
    <w:basedOn w:val="Body4"/>
    <w:uiPriority w:val="99"/>
    <w:rsid w:val="00416A25"/>
    <w:pPr>
      <w:numPr>
        <w:ilvl w:val="3"/>
        <w:numId w:val="4"/>
      </w:numPr>
      <w:outlineLvl w:val="3"/>
    </w:pPr>
  </w:style>
  <w:style w:type="paragraph" w:customStyle="1" w:styleId="Body5">
    <w:name w:val="Body 5"/>
    <w:basedOn w:val="Normal"/>
    <w:uiPriority w:val="99"/>
    <w:rsid w:val="004743D4"/>
    <w:pPr>
      <w:ind w:left="4032"/>
    </w:pPr>
  </w:style>
  <w:style w:type="paragraph" w:customStyle="1" w:styleId="Level5">
    <w:name w:val="Level 5"/>
    <w:basedOn w:val="Body5"/>
    <w:uiPriority w:val="99"/>
    <w:rsid w:val="00416A25"/>
    <w:pPr>
      <w:numPr>
        <w:ilvl w:val="4"/>
        <w:numId w:val="4"/>
      </w:numPr>
      <w:outlineLvl w:val="4"/>
    </w:pPr>
  </w:style>
  <w:style w:type="paragraph" w:customStyle="1" w:styleId="Body6">
    <w:name w:val="Body 6"/>
    <w:basedOn w:val="Normal"/>
    <w:uiPriority w:val="1"/>
    <w:qFormat/>
    <w:rsid w:val="004743D4"/>
    <w:pPr>
      <w:ind w:left="4464"/>
    </w:pPr>
  </w:style>
  <w:style w:type="paragraph" w:customStyle="1" w:styleId="Level6">
    <w:name w:val="Level 6"/>
    <w:basedOn w:val="Body6"/>
    <w:uiPriority w:val="99"/>
    <w:rsid w:val="00416A25"/>
    <w:pPr>
      <w:numPr>
        <w:ilvl w:val="5"/>
        <w:numId w:val="4"/>
      </w:numPr>
      <w:outlineLvl w:val="5"/>
    </w:pPr>
  </w:style>
  <w:style w:type="paragraph" w:customStyle="1" w:styleId="Body7">
    <w:name w:val="Body 7"/>
    <w:basedOn w:val="Normal"/>
    <w:uiPriority w:val="99"/>
    <w:rsid w:val="004743D4"/>
    <w:pPr>
      <w:ind w:left="4752"/>
    </w:pPr>
  </w:style>
  <w:style w:type="paragraph" w:customStyle="1" w:styleId="Level7">
    <w:name w:val="Level 7"/>
    <w:basedOn w:val="Body7"/>
    <w:uiPriority w:val="99"/>
    <w:rsid w:val="00416A25"/>
    <w:pPr>
      <w:numPr>
        <w:ilvl w:val="6"/>
        <w:numId w:val="4"/>
      </w:numPr>
      <w:outlineLvl w:val="6"/>
    </w:pPr>
  </w:style>
  <w:style w:type="paragraph" w:customStyle="1" w:styleId="Bullet1">
    <w:name w:val="Bullet 1"/>
    <w:basedOn w:val="Body"/>
    <w:uiPriority w:val="99"/>
    <w:rsid w:val="00416A25"/>
    <w:pPr>
      <w:numPr>
        <w:numId w:val="3"/>
      </w:numPr>
      <w:outlineLvl w:val="0"/>
    </w:pPr>
  </w:style>
  <w:style w:type="paragraph" w:customStyle="1" w:styleId="Bullet2">
    <w:name w:val="Bullet 2"/>
    <w:basedOn w:val="Body"/>
    <w:uiPriority w:val="99"/>
    <w:rsid w:val="00416A25"/>
    <w:pPr>
      <w:numPr>
        <w:ilvl w:val="1"/>
        <w:numId w:val="3"/>
      </w:numPr>
      <w:outlineLvl w:val="1"/>
    </w:pPr>
  </w:style>
  <w:style w:type="paragraph" w:customStyle="1" w:styleId="Bullet3">
    <w:name w:val="Bullet 3"/>
    <w:basedOn w:val="Body"/>
    <w:uiPriority w:val="99"/>
    <w:rsid w:val="00416A25"/>
    <w:pPr>
      <w:numPr>
        <w:ilvl w:val="2"/>
        <w:numId w:val="3"/>
      </w:numPr>
      <w:outlineLvl w:val="2"/>
    </w:pPr>
  </w:style>
  <w:style w:type="paragraph" w:customStyle="1" w:styleId="Bullet4">
    <w:name w:val="Bullet 4"/>
    <w:basedOn w:val="Body"/>
    <w:uiPriority w:val="99"/>
    <w:rsid w:val="00416A25"/>
    <w:pPr>
      <w:numPr>
        <w:ilvl w:val="3"/>
        <w:numId w:val="3"/>
      </w:numPr>
      <w:outlineLvl w:val="3"/>
    </w:pPr>
  </w:style>
  <w:style w:type="paragraph" w:customStyle="1" w:styleId="Bullet5">
    <w:name w:val="Bullet 5"/>
    <w:basedOn w:val="Body"/>
    <w:uiPriority w:val="99"/>
    <w:rsid w:val="00416A25"/>
    <w:pPr>
      <w:numPr>
        <w:ilvl w:val="4"/>
        <w:numId w:val="3"/>
      </w:numPr>
      <w:outlineLvl w:val="4"/>
    </w:pPr>
  </w:style>
  <w:style w:type="paragraph" w:customStyle="1" w:styleId="Bullet6">
    <w:name w:val="Bullet 6"/>
    <w:basedOn w:val="Body"/>
    <w:uiPriority w:val="99"/>
    <w:rsid w:val="00416A25"/>
    <w:pPr>
      <w:numPr>
        <w:ilvl w:val="5"/>
        <w:numId w:val="3"/>
      </w:numPr>
      <w:outlineLvl w:val="5"/>
    </w:pPr>
  </w:style>
  <w:style w:type="paragraph" w:customStyle="1" w:styleId="Bullet7">
    <w:name w:val="Bullet 7"/>
    <w:basedOn w:val="Body"/>
    <w:uiPriority w:val="99"/>
    <w:rsid w:val="00416A25"/>
    <w:pPr>
      <w:numPr>
        <w:ilvl w:val="6"/>
        <w:numId w:val="3"/>
      </w:numPr>
      <w:outlineLvl w:val="6"/>
    </w:pPr>
  </w:style>
  <w:style w:type="paragraph" w:customStyle="1" w:styleId="Bullet8">
    <w:name w:val="Bullet 8"/>
    <w:basedOn w:val="Body"/>
    <w:uiPriority w:val="99"/>
    <w:rsid w:val="00416A25"/>
    <w:pPr>
      <w:numPr>
        <w:ilvl w:val="7"/>
        <w:numId w:val="3"/>
      </w:numPr>
      <w:outlineLvl w:val="7"/>
    </w:pPr>
  </w:style>
  <w:style w:type="paragraph" w:customStyle="1" w:styleId="Bullet9">
    <w:name w:val="Bullet 9"/>
    <w:basedOn w:val="Body"/>
    <w:uiPriority w:val="99"/>
    <w:rsid w:val="00416A25"/>
    <w:pPr>
      <w:numPr>
        <w:ilvl w:val="8"/>
        <w:numId w:val="3"/>
      </w:numPr>
      <w:outlineLvl w:val="8"/>
    </w:pPr>
  </w:style>
  <w:style w:type="paragraph" w:styleId="EndnoteText">
    <w:name w:val="endnote text"/>
    <w:basedOn w:val="Normal"/>
    <w:link w:val="EndnoteTextChar"/>
    <w:uiPriority w:val="99"/>
    <w:semiHidden/>
    <w:rsid w:val="004743D4"/>
    <w:pPr>
      <w:spacing w:after="0"/>
    </w:pPr>
    <w:rPr>
      <w:sz w:val="18"/>
    </w:rPr>
  </w:style>
  <w:style w:type="character" w:customStyle="1" w:styleId="EndnoteTextChar">
    <w:name w:val="Endnote Text Char"/>
    <w:basedOn w:val="DefaultParagraphFont"/>
    <w:link w:val="EndnoteText"/>
    <w:uiPriority w:val="99"/>
    <w:semiHidden/>
    <w:locked/>
    <w:rsid w:val="004743D4"/>
    <w:rPr>
      <w:rFonts w:ascii="Arial" w:hAnsi="Arial" w:cs="Times New Roman"/>
      <w:sz w:val="20"/>
      <w:szCs w:val="20"/>
      <w:lang w:eastAsia="en-US"/>
    </w:rPr>
  </w:style>
  <w:style w:type="paragraph" w:styleId="FootnoteText">
    <w:name w:val="footnote text"/>
    <w:basedOn w:val="Normal"/>
    <w:link w:val="FootnoteTextChar"/>
    <w:uiPriority w:val="99"/>
    <w:semiHidden/>
    <w:rsid w:val="004743D4"/>
    <w:pPr>
      <w:spacing w:after="0"/>
    </w:pPr>
    <w:rPr>
      <w:sz w:val="18"/>
    </w:rPr>
  </w:style>
  <w:style w:type="character" w:customStyle="1" w:styleId="FootnoteTextChar">
    <w:name w:val="Footnote Text Char"/>
    <w:basedOn w:val="DefaultParagraphFont"/>
    <w:link w:val="FootnoteText"/>
    <w:uiPriority w:val="99"/>
    <w:semiHidden/>
    <w:locked/>
    <w:rsid w:val="004743D4"/>
    <w:rPr>
      <w:rFonts w:ascii="Arial" w:hAnsi="Arial" w:cs="Times New Roman"/>
      <w:sz w:val="20"/>
      <w:szCs w:val="20"/>
      <w:lang w:eastAsia="en-US"/>
    </w:rPr>
  </w:style>
  <w:style w:type="table" w:styleId="TableGrid">
    <w:name w:val="Table Grid"/>
    <w:basedOn w:val="TableNormal"/>
    <w:uiPriority w:val="99"/>
    <w:rsid w:val="00416A25"/>
    <w:pPr>
      <w:adjustRightInd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link w:val="Body"/>
    <w:uiPriority w:val="99"/>
    <w:locked/>
    <w:rsid w:val="007A06F3"/>
    <w:rPr>
      <w:sz w:val="22"/>
      <w:lang w:val="en-GB" w:eastAsia="en-GB"/>
    </w:rPr>
  </w:style>
  <w:style w:type="character" w:customStyle="1" w:styleId="ScheduleHeadingChar">
    <w:name w:val="Schedule Heading Char"/>
    <w:link w:val="ScheduleHeading"/>
    <w:uiPriority w:val="99"/>
    <w:locked/>
    <w:rsid w:val="007A06F3"/>
    <w:rPr>
      <w:b/>
      <w:bCs/>
      <w:caps/>
      <w:sz w:val="20"/>
      <w:szCs w:val="20"/>
      <w:lang w:eastAsia="zh-CN"/>
    </w:rPr>
  </w:style>
  <w:style w:type="character" w:styleId="FootnoteReference">
    <w:name w:val="footnote reference"/>
    <w:basedOn w:val="DefaultParagraphFont"/>
    <w:uiPriority w:val="99"/>
    <w:semiHidden/>
    <w:rsid w:val="004743D4"/>
    <w:rPr>
      <w:rFonts w:cs="Times New Roman"/>
      <w:vertAlign w:val="superscript"/>
    </w:rPr>
  </w:style>
  <w:style w:type="character" w:styleId="Hyperlink">
    <w:name w:val="Hyperlink"/>
    <w:basedOn w:val="DefaultParagraphFont"/>
    <w:uiPriority w:val="99"/>
    <w:rsid w:val="004743D4"/>
    <w:rPr>
      <w:rFonts w:ascii="Arial" w:hAnsi="Arial" w:cs="Times New Roman"/>
      <w:color w:val="0000FF"/>
      <w:u w:val="single"/>
    </w:rPr>
  </w:style>
  <w:style w:type="character" w:styleId="PageNumber">
    <w:name w:val="page number"/>
    <w:basedOn w:val="DefaultParagraphFont"/>
    <w:uiPriority w:val="99"/>
    <w:rsid w:val="004743D4"/>
    <w:rPr>
      <w:rFonts w:ascii="Arial" w:hAnsi="Arial" w:cs="Times New Roman"/>
      <w:sz w:val="16"/>
    </w:rPr>
  </w:style>
  <w:style w:type="paragraph" w:customStyle="1" w:styleId="Text">
    <w:name w:val="Text"/>
    <w:basedOn w:val="Normal"/>
    <w:uiPriority w:val="99"/>
    <w:rsid w:val="000F38A0"/>
    <w:pPr>
      <w:tabs>
        <w:tab w:val="left" w:pos="284"/>
      </w:tabs>
      <w:spacing w:after="260"/>
    </w:pPr>
  </w:style>
  <w:style w:type="paragraph" w:styleId="NormalIndent">
    <w:name w:val="Normal Indent"/>
    <w:basedOn w:val="Normal"/>
    <w:uiPriority w:val="99"/>
    <w:rsid w:val="00973F02"/>
    <w:pPr>
      <w:ind w:left="720"/>
      <w:jc w:val="left"/>
    </w:pPr>
    <w:rPr>
      <w:sz w:val="26"/>
    </w:rPr>
  </w:style>
  <w:style w:type="paragraph" w:styleId="BodyText">
    <w:name w:val="Body Text"/>
    <w:basedOn w:val="Normal"/>
    <w:link w:val="BodyTextChar"/>
    <w:uiPriority w:val="99"/>
    <w:semiHidden/>
    <w:rsid w:val="004743D4"/>
    <w:rPr>
      <w:i/>
      <w:iCs/>
    </w:rPr>
  </w:style>
  <w:style w:type="character" w:customStyle="1" w:styleId="BodyTextChar">
    <w:name w:val="Body Text Char"/>
    <w:basedOn w:val="DefaultParagraphFont"/>
    <w:link w:val="BodyText"/>
    <w:uiPriority w:val="99"/>
    <w:semiHidden/>
    <w:locked/>
    <w:rsid w:val="004743D4"/>
    <w:rPr>
      <w:rFonts w:ascii="Arial" w:hAnsi="Arial" w:cs="Times New Roman"/>
      <w:i/>
      <w:iCs/>
      <w:sz w:val="20"/>
      <w:szCs w:val="20"/>
      <w:lang w:eastAsia="en-US"/>
    </w:rPr>
  </w:style>
  <w:style w:type="paragraph" w:styleId="Title">
    <w:name w:val="Title"/>
    <w:basedOn w:val="Normal"/>
    <w:link w:val="TitleChar"/>
    <w:uiPriority w:val="99"/>
    <w:qFormat/>
    <w:rsid w:val="00973F02"/>
    <w:pPr>
      <w:pBdr>
        <w:bottom w:val="single" w:sz="12" w:space="1" w:color="auto"/>
      </w:pBdr>
      <w:jc w:val="center"/>
    </w:pPr>
    <w:rPr>
      <w:b/>
      <w:color w:val="000000"/>
    </w:rPr>
  </w:style>
  <w:style w:type="character" w:customStyle="1" w:styleId="TitleChar">
    <w:name w:val="Title Char"/>
    <w:basedOn w:val="DefaultParagraphFont"/>
    <w:link w:val="Title"/>
    <w:uiPriority w:val="99"/>
    <w:locked/>
    <w:rsid w:val="00F369E7"/>
    <w:rPr>
      <w:rFonts w:ascii="Cambria" w:hAnsi="Cambria" w:cs="Times New Roman"/>
      <w:b/>
      <w:bCs/>
      <w:kern w:val="28"/>
      <w:sz w:val="32"/>
      <w:szCs w:val="32"/>
      <w:lang w:eastAsia="en-US"/>
    </w:rPr>
  </w:style>
  <w:style w:type="paragraph" w:styleId="BodyText2">
    <w:name w:val="Body Text 2"/>
    <w:basedOn w:val="Normal"/>
    <w:link w:val="BodyText2Char"/>
    <w:uiPriority w:val="99"/>
    <w:semiHidden/>
    <w:rsid w:val="004743D4"/>
    <w:rPr>
      <w:u w:val="single"/>
    </w:rPr>
  </w:style>
  <w:style w:type="character" w:customStyle="1" w:styleId="BodyText2Char">
    <w:name w:val="Body Text 2 Char"/>
    <w:basedOn w:val="DefaultParagraphFont"/>
    <w:link w:val="BodyText2"/>
    <w:uiPriority w:val="99"/>
    <w:semiHidden/>
    <w:locked/>
    <w:rsid w:val="004743D4"/>
    <w:rPr>
      <w:rFonts w:ascii="Arial" w:hAnsi="Arial" w:cs="Times New Roman"/>
      <w:sz w:val="20"/>
      <w:szCs w:val="20"/>
      <w:u w:val="single"/>
      <w:lang w:eastAsia="en-US"/>
    </w:rPr>
  </w:style>
  <w:style w:type="paragraph" w:styleId="Subtitle">
    <w:name w:val="Subtitle"/>
    <w:basedOn w:val="Normal"/>
    <w:link w:val="SubtitleChar"/>
    <w:uiPriority w:val="99"/>
    <w:qFormat/>
    <w:rsid w:val="00973F02"/>
    <w:pPr>
      <w:tabs>
        <w:tab w:val="left" w:pos="2970"/>
        <w:tab w:val="center" w:pos="6480"/>
      </w:tabs>
      <w:spacing w:line="240" w:lineRule="atLeast"/>
    </w:pPr>
    <w:rPr>
      <w:b/>
      <w:i/>
    </w:rPr>
  </w:style>
  <w:style w:type="character" w:customStyle="1" w:styleId="SubtitleChar">
    <w:name w:val="Subtitle Char"/>
    <w:basedOn w:val="DefaultParagraphFont"/>
    <w:link w:val="Subtitle"/>
    <w:uiPriority w:val="99"/>
    <w:locked/>
    <w:rsid w:val="00F369E7"/>
    <w:rPr>
      <w:rFonts w:ascii="Cambria" w:hAnsi="Cambria" w:cs="Times New Roman"/>
      <w:sz w:val="24"/>
      <w:szCs w:val="24"/>
      <w:lang w:eastAsia="en-US"/>
    </w:rPr>
  </w:style>
  <w:style w:type="paragraph" w:styleId="BalloonText">
    <w:name w:val="Balloon Text"/>
    <w:basedOn w:val="Normal"/>
    <w:link w:val="BalloonTextChar"/>
    <w:uiPriority w:val="99"/>
    <w:semiHidden/>
    <w:rsid w:val="00EC5EA3"/>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EC5EA3"/>
    <w:rPr>
      <w:rFonts w:ascii="Tahoma" w:hAnsi="Tahoma" w:cs="Times New Roman"/>
      <w:sz w:val="16"/>
      <w:lang w:eastAsia="en-US"/>
    </w:rPr>
  </w:style>
  <w:style w:type="paragraph" w:customStyle="1" w:styleId="CharChar1CharCharCharCharCharCharCharCharCharCharCharCharCharChar">
    <w:name w:val="Char Char1 Char Char Char Char Char Char Char Char Char Char Char Char Char Char"/>
    <w:basedOn w:val="Normal"/>
    <w:uiPriority w:val="99"/>
    <w:rsid w:val="00791A28"/>
    <w:pPr>
      <w:spacing w:after="160" w:line="240" w:lineRule="exact"/>
      <w:jc w:val="left"/>
    </w:pPr>
    <w:rPr>
      <w:rFonts w:ascii="Verdana" w:hAnsi="Verdana"/>
      <w:lang w:val="en-US"/>
    </w:rPr>
  </w:style>
  <w:style w:type="paragraph" w:styleId="BodyTextIndent">
    <w:name w:val="Body Text Indent"/>
    <w:basedOn w:val="Normal"/>
    <w:link w:val="BodyTextIndentChar"/>
    <w:uiPriority w:val="99"/>
    <w:rsid w:val="002340C7"/>
    <w:pPr>
      <w:spacing w:after="120"/>
      <w:ind w:left="283"/>
    </w:pPr>
  </w:style>
  <w:style w:type="character" w:customStyle="1" w:styleId="BodyTextIndentChar">
    <w:name w:val="Body Text Indent Char"/>
    <w:basedOn w:val="DefaultParagraphFont"/>
    <w:link w:val="BodyTextIndent"/>
    <w:uiPriority w:val="99"/>
    <w:semiHidden/>
    <w:locked/>
    <w:rsid w:val="00F369E7"/>
    <w:rPr>
      <w:rFonts w:ascii="Arial" w:hAnsi="Arial" w:cs="Times New Roman"/>
      <w:sz w:val="20"/>
      <w:szCs w:val="20"/>
      <w:lang w:eastAsia="en-US"/>
    </w:rPr>
  </w:style>
  <w:style w:type="paragraph" w:styleId="BodyTextIndent3">
    <w:name w:val="Body Text Indent 3"/>
    <w:basedOn w:val="Normal"/>
    <w:link w:val="BodyTextIndent3Char"/>
    <w:uiPriority w:val="99"/>
    <w:rsid w:val="002340C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369E7"/>
    <w:rPr>
      <w:rFonts w:ascii="Arial" w:hAnsi="Arial" w:cs="Times New Roman"/>
      <w:sz w:val="16"/>
      <w:szCs w:val="16"/>
      <w:lang w:eastAsia="en-US"/>
    </w:rPr>
  </w:style>
  <w:style w:type="character" w:customStyle="1" w:styleId="subparatext">
    <w:name w:val="subparatext"/>
    <w:basedOn w:val="DefaultParagraphFont"/>
    <w:uiPriority w:val="99"/>
    <w:rsid w:val="003412B7"/>
    <w:rPr>
      <w:rFonts w:cs="Times New Roman"/>
    </w:rPr>
  </w:style>
  <w:style w:type="paragraph" w:customStyle="1" w:styleId="MacLevel1">
    <w:name w:val="Mac Level 1"/>
    <w:basedOn w:val="Normal"/>
    <w:next w:val="Body1"/>
    <w:qFormat/>
    <w:rsid w:val="004743D4"/>
    <w:pPr>
      <w:numPr>
        <w:ilvl w:val="1"/>
        <w:numId w:val="24"/>
      </w:numPr>
      <w:outlineLvl w:val="0"/>
    </w:pPr>
  </w:style>
  <w:style w:type="paragraph" w:customStyle="1" w:styleId="MacLevel2">
    <w:name w:val="Mac Level 2"/>
    <w:basedOn w:val="Normal"/>
    <w:next w:val="Body2"/>
    <w:link w:val="MacLevel2Char"/>
    <w:qFormat/>
    <w:rsid w:val="004743D4"/>
    <w:pPr>
      <w:numPr>
        <w:ilvl w:val="2"/>
        <w:numId w:val="24"/>
      </w:numPr>
      <w:tabs>
        <w:tab w:val="clear" w:pos="2016"/>
        <w:tab w:val="num" w:pos="864"/>
      </w:tabs>
      <w:ind w:left="864" w:hanging="864"/>
      <w:outlineLvl w:val="1"/>
    </w:pPr>
  </w:style>
  <w:style w:type="paragraph" w:customStyle="1" w:styleId="MacLevel3">
    <w:name w:val="Mac Level 3"/>
    <w:basedOn w:val="Normal"/>
    <w:next w:val="Body3"/>
    <w:qFormat/>
    <w:rsid w:val="004743D4"/>
    <w:pPr>
      <w:numPr>
        <w:ilvl w:val="3"/>
        <w:numId w:val="24"/>
      </w:numPr>
      <w:tabs>
        <w:tab w:val="clear" w:pos="3456"/>
        <w:tab w:val="num" w:pos="2016"/>
      </w:tabs>
      <w:ind w:left="2016" w:hanging="1152"/>
      <w:outlineLvl w:val="2"/>
    </w:pPr>
  </w:style>
  <w:style w:type="paragraph" w:customStyle="1" w:styleId="MacLevel4">
    <w:name w:val="Mac Level 4"/>
    <w:basedOn w:val="Normal"/>
    <w:next w:val="Body4"/>
    <w:qFormat/>
    <w:rsid w:val="004743D4"/>
    <w:pPr>
      <w:numPr>
        <w:ilvl w:val="4"/>
        <w:numId w:val="24"/>
      </w:numPr>
      <w:tabs>
        <w:tab w:val="clear" w:pos="4032"/>
        <w:tab w:val="num" w:pos="3456"/>
      </w:tabs>
      <w:ind w:left="3456" w:hanging="1440"/>
      <w:outlineLvl w:val="3"/>
    </w:pPr>
  </w:style>
  <w:style w:type="paragraph" w:customStyle="1" w:styleId="MacLevel5">
    <w:name w:val="Mac Level 5"/>
    <w:basedOn w:val="Normal"/>
    <w:next w:val="Body5"/>
    <w:qFormat/>
    <w:rsid w:val="004743D4"/>
    <w:pPr>
      <w:numPr>
        <w:ilvl w:val="5"/>
        <w:numId w:val="24"/>
      </w:numPr>
      <w:tabs>
        <w:tab w:val="clear" w:pos="4464"/>
        <w:tab w:val="num" w:pos="4032"/>
      </w:tabs>
      <w:ind w:left="4032" w:hanging="576"/>
      <w:outlineLvl w:val="4"/>
    </w:pPr>
  </w:style>
  <w:style w:type="paragraph" w:customStyle="1" w:styleId="MacLevel6">
    <w:name w:val="Mac Level 6"/>
    <w:basedOn w:val="Normal"/>
    <w:next w:val="Body6"/>
    <w:qFormat/>
    <w:rsid w:val="004743D4"/>
    <w:pPr>
      <w:numPr>
        <w:ilvl w:val="6"/>
        <w:numId w:val="24"/>
      </w:numPr>
      <w:tabs>
        <w:tab w:val="clear" w:pos="4752"/>
        <w:tab w:val="num" w:pos="4464"/>
      </w:tabs>
      <w:ind w:left="4464" w:hanging="432"/>
      <w:outlineLvl w:val="5"/>
    </w:pPr>
  </w:style>
  <w:style w:type="paragraph" w:customStyle="1" w:styleId="MacLevel7">
    <w:name w:val="Mac Level 7"/>
    <w:basedOn w:val="Normal"/>
    <w:next w:val="Body7"/>
    <w:qFormat/>
    <w:rsid w:val="004743D4"/>
    <w:pPr>
      <w:numPr>
        <w:ilvl w:val="7"/>
        <w:numId w:val="24"/>
      </w:numPr>
      <w:tabs>
        <w:tab w:val="clear" w:pos="5040"/>
        <w:tab w:val="num" w:pos="4752"/>
      </w:tabs>
      <w:ind w:left="4752"/>
      <w:outlineLvl w:val="6"/>
    </w:pPr>
  </w:style>
  <w:style w:type="paragraph" w:customStyle="1" w:styleId="MacLevel8">
    <w:name w:val="Mac Level 8"/>
    <w:basedOn w:val="Normal"/>
    <w:next w:val="Body8"/>
    <w:qFormat/>
    <w:rsid w:val="004743D4"/>
    <w:pPr>
      <w:numPr>
        <w:ilvl w:val="8"/>
        <w:numId w:val="24"/>
      </w:numPr>
      <w:tabs>
        <w:tab w:val="num" w:pos="5040"/>
      </w:tabs>
      <w:ind w:left="5040" w:hanging="288"/>
      <w:outlineLvl w:val="7"/>
    </w:pPr>
  </w:style>
  <w:style w:type="paragraph" w:customStyle="1" w:styleId="AppendixLevel1">
    <w:name w:val="Appendix Level 1"/>
    <w:basedOn w:val="Normal"/>
    <w:next w:val="Body1"/>
    <w:rsid w:val="004743D4"/>
    <w:pPr>
      <w:numPr>
        <w:ilvl w:val="1"/>
        <w:numId w:val="21"/>
      </w:numPr>
    </w:pPr>
  </w:style>
  <w:style w:type="character" w:customStyle="1" w:styleId="DeltaViewInsertion">
    <w:name w:val="DeltaView Insertion"/>
    <w:uiPriority w:val="99"/>
    <w:rsid w:val="00907230"/>
    <w:rPr>
      <w:color w:val="0000FF"/>
      <w:spacing w:val="0"/>
      <w:u w:val="double"/>
    </w:rPr>
  </w:style>
  <w:style w:type="paragraph" w:customStyle="1" w:styleId="TableContents">
    <w:name w:val="TableContents"/>
    <w:basedOn w:val="Normal"/>
    <w:uiPriority w:val="99"/>
    <w:rsid w:val="001D0B27"/>
    <w:pPr>
      <w:spacing w:line="280" w:lineRule="exact"/>
      <w:jc w:val="left"/>
    </w:pPr>
  </w:style>
  <w:style w:type="paragraph" w:customStyle="1" w:styleId="mach1">
    <w:name w:val="mach1"/>
    <w:basedOn w:val="Normal"/>
    <w:uiPriority w:val="99"/>
    <w:rsid w:val="001C4743"/>
    <w:pPr>
      <w:spacing w:before="100" w:beforeAutospacing="1" w:after="100" w:afterAutospacing="1"/>
      <w:jc w:val="left"/>
    </w:pPr>
    <w:rPr>
      <w:sz w:val="24"/>
      <w:szCs w:val="24"/>
    </w:rPr>
  </w:style>
  <w:style w:type="paragraph" w:customStyle="1" w:styleId="body10">
    <w:name w:val="body1"/>
    <w:basedOn w:val="Normal"/>
    <w:uiPriority w:val="99"/>
    <w:rsid w:val="001C4743"/>
    <w:pPr>
      <w:spacing w:before="100" w:beforeAutospacing="1" w:after="100" w:afterAutospacing="1"/>
      <w:jc w:val="left"/>
    </w:pPr>
    <w:rPr>
      <w:sz w:val="24"/>
      <w:szCs w:val="24"/>
    </w:rPr>
  </w:style>
  <w:style w:type="paragraph" w:styleId="NormalWeb">
    <w:name w:val="Normal (Web)"/>
    <w:basedOn w:val="Normal"/>
    <w:uiPriority w:val="99"/>
    <w:rsid w:val="007F0BE6"/>
    <w:pPr>
      <w:spacing w:before="100" w:beforeAutospacing="1" w:after="100" w:afterAutospacing="1"/>
      <w:jc w:val="left"/>
    </w:pPr>
    <w:rPr>
      <w:sz w:val="24"/>
      <w:szCs w:val="24"/>
    </w:rPr>
  </w:style>
  <w:style w:type="paragraph" w:customStyle="1" w:styleId="BodyTexti">
    <w:name w:val="Body Text i."/>
    <w:basedOn w:val="Heading4"/>
    <w:uiPriority w:val="99"/>
    <w:rsid w:val="00264BCA"/>
    <w:pPr>
      <w:widowControl w:val="0"/>
      <w:numPr>
        <w:numId w:val="5"/>
      </w:numPr>
      <w:tabs>
        <w:tab w:val="clear" w:pos="2880"/>
        <w:tab w:val="num" w:pos="360"/>
      </w:tabs>
      <w:spacing w:before="120"/>
      <w:ind w:left="0" w:firstLine="0"/>
    </w:pPr>
    <w:rPr>
      <w:b/>
      <w:bCs/>
      <w:sz w:val="24"/>
    </w:rPr>
  </w:style>
  <w:style w:type="paragraph" w:customStyle="1" w:styleId="NewBodyTexta">
    <w:name w:val="New Body Text a."/>
    <w:basedOn w:val="Normal"/>
    <w:uiPriority w:val="99"/>
    <w:rsid w:val="00264BCA"/>
    <w:pPr>
      <w:widowControl w:val="0"/>
      <w:numPr>
        <w:ilvl w:val="2"/>
        <w:numId w:val="5"/>
      </w:numPr>
      <w:tabs>
        <w:tab w:val="clear" w:pos="1440"/>
        <w:tab w:val="num" w:pos="360"/>
      </w:tabs>
      <w:spacing w:before="240" w:after="60"/>
      <w:ind w:left="0" w:firstLine="0"/>
      <w:outlineLvl w:val="2"/>
    </w:pPr>
    <w:rPr>
      <w:sz w:val="24"/>
      <w:lang w:val="en-US"/>
    </w:rPr>
  </w:style>
  <w:style w:type="character" w:styleId="CommentReference">
    <w:name w:val="annotation reference"/>
    <w:basedOn w:val="DefaultParagraphFont"/>
    <w:uiPriority w:val="99"/>
    <w:rsid w:val="00B36160"/>
    <w:rPr>
      <w:rFonts w:cs="Times New Roman"/>
      <w:sz w:val="16"/>
    </w:rPr>
  </w:style>
  <w:style w:type="paragraph" w:styleId="CommentText">
    <w:name w:val="annotation text"/>
    <w:basedOn w:val="Normal"/>
    <w:link w:val="CommentTextChar"/>
    <w:uiPriority w:val="99"/>
    <w:rsid w:val="00B36160"/>
  </w:style>
  <w:style w:type="character" w:customStyle="1" w:styleId="CommentTextChar">
    <w:name w:val="Comment Text Char"/>
    <w:basedOn w:val="DefaultParagraphFont"/>
    <w:link w:val="CommentText"/>
    <w:uiPriority w:val="99"/>
    <w:locked/>
    <w:rsid w:val="00B36160"/>
    <w:rPr>
      <w:rFonts w:cs="Times New Roman"/>
    </w:rPr>
  </w:style>
  <w:style w:type="paragraph" w:styleId="CommentSubject">
    <w:name w:val="annotation subject"/>
    <w:basedOn w:val="CommentText"/>
    <w:next w:val="CommentText"/>
    <w:link w:val="CommentSubjectChar"/>
    <w:uiPriority w:val="99"/>
    <w:rsid w:val="00B36160"/>
    <w:rPr>
      <w:rFonts w:ascii="Times New Roman" w:hAnsi="Times New Roman"/>
      <w:b/>
      <w:bCs/>
      <w:lang w:eastAsia="en-GB"/>
    </w:rPr>
  </w:style>
  <w:style w:type="character" w:customStyle="1" w:styleId="CommentSubjectChar">
    <w:name w:val="Comment Subject Char"/>
    <w:basedOn w:val="CommentTextChar"/>
    <w:link w:val="CommentSubject"/>
    <w:uiPriority w:val="99"/>
    <w:locked/>
    <w:rsid w:val="00B36160"/>
    <w:rPr>
      <w:rFonts w:cs="Times New Roman"/>
      <w:b/>
    </w:rPr>
  </w:style>
  <w:style w:type="character" w:customStyle="1" w:styleId="CharChar6">
    <w:name w:val="Char Char6"/>
    <w:uiPriority w:val="99"/>
    <w:semiHidden/>
    <w:locked/>
    <w:rsid w:val="00AA3E90"/>
    <w:rPr>
      <w:sz w:val="20"/>
      <w:lang w:val="en-US" w:eastAsia="en-US"/>
    </w:rPr>
  </w:style>
  <w:style w:type="paragraph" w:styleId="ListBullet2">
    <w:name w:val="List Bullet 2"/>
    <w:basedOn w:val="Normal"/>
    <w:autoRedefine/>
    <w:uiPriority w:val="99"/>
    <w:rsid w:val="008F7920"/>
    <w:pPr>
      <w:tabs>
        <w:tab w:val="num" w:pos="709"/>
      </w:tabs>
      <w:spacing w:line="264" w:lineRule="auto"/>
      <w:ind w:left="709" w:hanging="709"/>
    </w:pPr>
    <w:rPr>
      <w:kern w:val="28"/>
      <w:sz w:val="21"/>
      <w:lang w:eastAsia="zh-CN"/>
    </w:rPr>
  </w:style>
  <w:style w:type="paragraph" w:styleId="ListBullet3">
    <w:name w:val="List Bullet 3"/>
    <w:basedOn w:val="Normal"/>
    <w:autoRedefine/>
    <w:uiPriority w:val="99"/>
    <w:rsid w:val="001638BD"/>
    <w:pPr>
      <w:spacing w:line="264" w:lineRule="auto"/>
      <w:ind w:left="900" w:hanging="900"/>
    </w:pPr>
    <w:rPr>
      <w:kern w:val="28"/>
      <w:sz w:val="21"/>
      <w:lang w:eastAsia="zh-CN"/>
    </w:rPr>
  </w:style>
  <w:style w:type="paragraph" w:styleId="ListNumber">
    <w:name w:val="List Number"/>
    <w:basedOn w:val="Normal"/>
    <w:uiPriority w:val="99"/>
    <w:rsid w:val="008F7920"/>
    <w:pPr>
      <w:tabs>
        <w:tab w:val="num" w:pos="2835"/>
      </w:tabs>
      <w:spacing w:line="264" w:lineRule="auto"/>
      <w:ind w:left="2835" w:hanging="709"/>
    </w:pPr>
    <w:rPr>
      <w:kern w:val="28"/>
      <w:sz w:val="21"/>
      <w:lang w:eastAsia="zh-CN"/>
    </w:rPr>
  </w:style>
  <w:style w:type="character" w:customStyle="1" w:styleId="BoldText">
    <w:name w:val="BoldText"/>
    <w:uiPriority w:val="99"/>
    <w:rsid w:val="008F7920"/>
    <w:rPr>
      <w:b/>
    </w:rPr>
  </w:style>
  <w:style w:type="paragraph" w:customStyle="1" w:styleId="MACText">
    <w:name w:val="MAC Text"/>
    <w:basedOn w:val="Normal"/>
    <w:uiPriority w:val="99"/>
    <w:rsid w:val="004743D4"/>
    <w:pPr>
      <w:spacing w:after="0"/>
      <w:jc w:val="left"/>
    </w:pPr>
    <w:rPr>
      <w:szCs w:val="48"/>
    </w:rPr>
  </w:style>
  <w:style w:type="paragraph" w:customStyle="1" w:styleId="Body8">
    <w:name w:val="Body 8"/>
    <w:basedOn w:val="Normal"/>
    <w:uiPriority w:val="99"/>
    <w:rsid w:val="004743D4"/>
    <w:pPr>
      <w:ind w:left="5040"/>
    </w:pPr>
  </w:style>
  <w:style w:type="paragraph" w:customStyle="1" w:styleId="AppendixSubHeadingTOC">
    <w:name w:val="Appendix Sub Heading TOC"/>
    <w:basedOn w:val="Normal"/>
    <w:next w:val="Normal"/>
    <w:rsid w:val="004743D4"/>
    <w:pPr>
      <w:keepNext/>
      <w:numPr>
        <w:ilvl w:val="1"/>
        <w:numId w:val="7"/>
      </w:numPr>
      <w:jc w:val="center"/>
    </w:pPr>
    <w:rPr>
      <w:b/>
      <w:sz w:val="22"/>
    </w:rPr>
  </w:style>
  <w:style w:type="paragraph" w:customStyle="1" w:styleId="NoProofing">
    <w:name w:val="NoProofing"/>
    <w:basedOn w:val="Normal"/>
    <w:uiPriority w:val="99"/>
    <w:rsid w:val="004743D4"/>
    <w:rPr>
      <w:noProof/>
    </w:rPr>
  </w:style>
  <w:style w:type="character" w:customStyle="1" w:styleId="MacLevel1TOC">
    <w:name w:val="Mac Level 1 TOC"/>
    <w:basedOn w:val="DefaultParagraphFont"/>
    <w:uiPriority w:val="99"/>
    <w:rsid w:val="004743D4"/>
    <w:rPr>
      <w:rFonts w:ascii="Arial" w:hAnsi="Arial" w:cs="Arial"/>
      <w:b/>
      <w:sz w:val="22"/>
    </w:rPr>
  </w:style>
  <w:style w:type="character" w:customStyle="1" w:styleId="MacLevel2TOC">
    <w:name w:val="Mac Level 2 TOC"/>
    <w:basedOn w:val="DefaultParagraphFont"/>
    <w:uiPriority w:val="99"/>
    <w:rsid w:val="004743D4"/>
    <w:rPr>
      <w:rFonts w:ascii="Arial" w:hAnsi="Arial" w:cs="Times New Roman"/>
      <w:b/>
    </w:rPr>
  </w:style>
  <w:style w:type="paragraph" w:customStyle="1" w:styleId="SingleAppendixHeadingTOC">
    <w:name w:val="Single Appendix Heading TOC"/>
    <w:basedOn w:val="Normal"/>
    <w:next w:val="AppendixSubHeadingTOC"/>
    <w:uiPriority w:val="99"/>
    <w:rsid w:val="004743D4"/>
    <w:pPr>
      <w:numPr>
        <w:numId w:val="9"/>
      </w:numPr>
      <w:jc w:val="center"/>
    </w:pPr>
    <w:rPr>
      <w:b/>
      <w:caps/>
      <w:sz w:val="22"/>
    </w:rPr>
  </w:style>
  <w:style w:type="paragraph" w:customStyle="1" w:styleId="ScheduleHeadingTOC">
    <w:name w:val="Schedule Heading TOC"/>
    <w:basedOn w:val="Normal"/>
    <w:next w:val="ScheduleSubHeadingTOC"/>
    <w:uiPriority w:val="99"/>
    <w:rsid w:val="004743D4"/>
    <w:pPr>
      <w:keepNext/>
      <w:numPr>
        <w:numId w:val="23"/>
      </w:numPr>
      <w:jc w:val="center"/>
      <w:outlineLvl w:val="0"/>
    </w:pPr>
    <w:rPr>
      <w:b/>
      <w:caps/>
      <w:sz w:val="22"/>
      <w:szCs w:val="22"/>
    </w:rPr>
  </w:style>
  <w:style w:type="paragraph" w:customStyle="1" w:styleId="ScheduleHeadingPartTOC">
    <w:name w:val="Schedule Heading Part TOC"/>
    <w:basedOn w:val="Normal"/>
    <w:next w:val="ScheduleSubHeadingTOC"/>
    <w:uiPriority w:val="99"/>
    <w:rsid w:val="004743D4"/>
    <w:pPr>
      <w:keepNext/>
      <w:numPr>
        <w:ilvl w:val="1"/>
        <w:numId w:val="23"/>
      </w:numPr>
      <w:tabs>
        <w:tab w:val="clear" w:pos="864"/>
      </w:tabs>
      <w:ind w:left="0" w:firstLine="0"/>
      <w:jc w:val="center"/>
    </w:pPr>
    <w:rPr>
      <w:b/>
      <w:caps/>
      <w:sz w:val="22"/>
    </w:rPr>
  </w:style>
  <w:style w:type="paragraph" w:customStyle="1" w:styleId="ScheduleSubHeadingTOC">
    <w:name w:val="Schedule Sub Heading TOC"/>
    <w:basedOn w:val="Normal"/>
    <w:next w:val="Normal"/>
    <w:uiPriority w:val="99"/>
    <w:rsid w:val="004743D4"/>
    <w:pPr>
      <w:keepNext/>
      <w:numPr>
        <w:numId w:val="8"/>
      </w:numPr>
      <w:ind w:firstLine="0"/>
      <w:jc w:val="center"/>
    </w:pPr>
    <w:rPr>
      <w:b/>
      <w:bCs/>
      <w:sz w:val="22"/>
    </w:rPr>
  </w:style>
  <w:style w:type="character" w:customStyle="1" w:styleId="ScheduleLevel1TOC">
    <w:name w:val="Schedule Level 1 TOC"/>
    <w:basedOn w:val="DefaultParagraphFont"/>
    <w:uiPriority w:val="99"/>
    <w:rsid w:val="004743D4"/>
    <w:rPr>
      <w:rFonts w:ascii="Arial" w:hAnsi="Arial" w:cs="Times New Roman"/>
      <w:b/>
      <w:sz w:val="22"/>
    </w:rPr>
  </w:style>
  <w:style w:type="character" w:customStyle="1" w:styleId="ScheduleLevel2TOC">
    <w:name w:val="Schedule Level 2 TOC"/>
    <w:basedOn w:val="DefaultParagraphFont"/>
    <w:uiPriority w:val="99"/>
    <w:rsid w:val="004743D4"/>
    <w:rPr>
      <w:rFonts w:ascii="Arial" w:hAnsi="Arial" w:cs="Times New Roman"/>
      <w:b/>
      <w:sz w:val="20"/>
    </w:rPr>
  </w:style>
  <w:style w:type="paragraph" w:customStyle="1" w:styleId="ScheduleLevel1">
    <w:name w:val="Schedule Level 1"/>
    <w:basedOn w:val="Normal"/>
    <w:next w:val="Body1"/>
    <w:uiPriority w:val="99"/>
    <w:rsid w:val="004743D4"/>
    <w:pPr>
      <w:numPr>
        <w:ilvl w:val="2"/>
        <w:numId w:val="23"/>
      </w:numPr>
      <w:outlineLvl w:val="1"/>
    </w:pPr>
  </w:style>
  <w:style w:type="paragraph" w:customStyle="1" w:styleId="ScheduleLevel2">
    <w:name w:val="Schedule Level 2"/>
    <w:basedOn w:val="Normal"/>
    <w:next w:val="Body2"/>
    <w:uiPriority w:val="99"/>
    <w:rsid w:val="004743D4"/>
    <w:pPr>
      <w:numPr>
        <w:ilvl w:val="3"/>
        <w:numId w:val="23"/>
      </w:numPr>
      <w:outlineLvl w:val="1"/>
    </w:pPr>
  </w:style>
  <w:style w:type="paragraph" w:customStyle="1" w:styleId="NormalSingle">
    <w:name w:val="Normal Single"/>
    <w:basedOn w:val="Normal"/>
    <w:uiPriority w:val="99"/>
    <w:rsid w:val="004743D4"/>
    <w:pPr>
      <w:tabs>
        <w:tab w:val="left" w:pos="1440"/>
      </w:tabs>
    </w:pPr>
  </w:style>
  <w:style w:type="paragraph" w:customStyle="1" w:styleId="Double">
    <w:name w:val="Double"/>
    <w:basedOn w:val="Normal"/>
    <w:uiPriority w:val="99"/>
    <w:semiHidden/>
    <w:rsid w:val="004743D4"/>
    <w:pPr>
      <w:spacing w:line="480" w:lineRule="auto"/>
    </w:pPr>
  </w:style>
  <w:style w:type="paragraph" w:customStyle="1" w:styleId="MainHeading">
    <w:name w:val="Main Heading"/>
    <w:basedOn w:val="Normal"/>
    <w:next w:val="Normal"/>
    <w:link w:val="MainHeadingChar"/>
    <w:uiPriority w:val="99"/>
    <w:rsid w:val="004743D4"/>
    <w:pPr>
      <w:keepNext/>
      <w:jc w:val="left"/>
    </w:pPr>
    <w:rPr>
      <w:b/>
      <w:sz w:val="22"/>
    </w:rPr>
  </w:style>
  <w:style w:type="paragraph" w:customStyle="1" w:styleId="MainHeadingCentered">
    <w:name w:val="Main Heading (Centered)"/>
    <w:basedOn w:val="Normal"/>
    <w:next w:val="Normal"/>
    <w:uiPriority w:val="99"/>
    <w:rsid w:val="004743D4"/>
    <w:pPr>
      <w:jc w:val="center"/>
    </w:pPr>
    <w:rPr>
      <w:b/>
      <w:caps/>
      <w:sz w:val="22"/>
    </w:rPr>
  </w:style>
  <w:style w:type="paragraph" w:customStyle="1" w:styleId="OneAndAHalf">
    <w:name w:val="OneAndAHalf"/>
    <w:basedOn w:val="Normal"/>
    <w:uiPriority w:val="99"/>
    <w:semiHidden/>
    <w:rsid w:val="004743D4"/>
  </w:style>
  <w:style w:type="paragraph" w:customStyle="1" w:styleId="ScheduleLevel3">
    <w:name w:val="Schedule Level 3"/>
    <w:basedOn w:val="Normal"/>
    <w:next w:val="Body3"/>
    <w:uiPriority w:val="99"/>
    <w:rsid w:val="004743D4"/>
    <w:pPr>
      <w:numPr>
        <w:ilvl w:val="4"/>
        <w:numId w:val="23"/>
      </w:numPr>
      <w:tabs>
        <w:tab w:val="clear" w:pos="3456"/>
        <w:tab w:val="num" w:pos="2016"/>
      </w:tabs>
      <w:ind w:left="2016" w:hanging="1152"/>
      <w:outlineLvl w:val="3"/>
    </w:pPr>
    <w:rPr>
      <w:rFonts w:cs="Arial"/>
    </w:rPr>
  </w:style>
  <w:style w:type="paragraph" w:customStyle="1" w:styleId="ScheduleLevel4">
    <w:name w:val="Schedule Level 4"/>
    <w:basedOn w:val="Normal"/>
    <w:next w:val="Body4"/>
    <w:uiPriority w:val="99"/>
    <w:rsid w:val="004743D4"/>
    <w:pPr>
      <w:numPr>
        <w:ilvl w:val="5"/>
        <w:numId w:val="23"/>
      </w:numPr>
      <w:tabs>
        <w:tab w:val="clear" w:pos="4032"/>
        <w:tab w:val="num" w:pos="3456"/>
      </w:tabs>
      <w:ind w:left="3456" w:hanging="1440"/>
      <w:outlineLvl w:val="4"/>
    </w:pPr>
    <w:rPr>
      <w:rFonts w:cs="Arial"/>
    </w:rPr>
  </w:style>
  <w:style w:type="paragraph" w:customStyle="1" w:styleId="ScheduleLevel5">
    <w:name w:val="Schedule Level 5"/>
    <w:basedOn w:val="ScheduleLevel4"/>
    <w:next w:val="Body5"/>
    <w:uiPriority w:val="99"/>
    <w:rsid w:val="004743D4"/>
    <w:pPr>
      <w:numPr>
        <w:ilvl w:val="6"/>
      </w:numPr>
      <w:tabs>
        <w:tab w:val="num" w:pos="4032"/>
      </w:tabs>
      <w:ind w:left="4032" w:hanging="576"/>
      <w:outlineLvl w:val="5"/>
    </w:pPr>
  </w:style>
  <w:style w:type="paragraph" w:customStyle="1" w:styleId="MacHeadingTOC">
    <w:name w:val="Mac Heading TOC"/>
    <w:basedOn w:val="Normal"/>
    <w:next w:val="Normal"/>
    <w:uiPriority w:val="99"/>
    <w:rsid w:val="004743D4"/>
    <w:pPr>
      <w:spacing w:before="220" w:after="0"/>
      <w:jc w:val="center"/>
    </w:pPr>
    <w:rPr>
      <w:b/>
      <w:caps/>
    </w:rPr>
  </w:style>
  <w:style w:type="paragraph" w:customStyle="1" w:styleId="MacRptLevel1">
    <w:name w:val="Mac Rpt Level 1"/>
    <w:basedOn w:val="Normal"/>
    <w:uiPriority w:val="99"/>
    <w:rsid w:val="004743D4"/>
    <w:pPr>
      <w:tabs>
        <w:tab w:val="left" w:pos="1440"/>
        <w:tab w:val="right" w:pos="9000"/>
      </w:tabs>
      <w:spacing w:after="0"/>
      <w:jc w:val="left"/>
    </w:pPr>
  </w:style>
  <w:style w:type="paragraph" w:customStyle="1" w:styleId="MacRptLevel2">
    <w:name w:val="Mac Rpt Level 2"/>
    <w:basedOn w:val="Normal"/>
    <w:next w:val="MacRptLevel1"/>
    <w:uiPriority w:val="99"/>
    <w:rsid w:val="004743D4"/>
    <w:pPr>
      <w:tabs>
        <w:tab w:val="left" w:pos="2160"/>
        <w:tab w:val="right" w:pos="9000"/>
      </w:tabs>
      <w:spacing w:after="0"/>
      <w:ind w:left="1440"/>
      <w:jc w:val="left"/>
    </w:pPr>
  </w:style>
  <w:style w:type="paragraph" w:customStyle="1" w:styleId="MacSubHeadingTOC">
    <w:name w:val="Mac Sub Heading TOC"/>
    <w:basedOn w:val="Normal"/>
    <w:next w:val="MacRptLevel1"/>
    <w:uiPriority w:val="99"/>
    <w:rsid w:val="004743D4"/>
    <w:pPr>
      <w:tabs>
        <w:tab w:val="right" w:pos="9000"/>
      </w:tabs>
      <w:spacing w:before="220" w:after="0"/>
      <w:jc w:val="left"/>
    </w:pPr>
    <w:rPr>
      <w:b/>
    </w:rPr>
  </w:style>
  <w:style w:type="paragraph" w:customStyle="1" w:styleId="FirmAddress">
    <w:name w:val="FirmAddress"/>
    <w:basedOn w:val="Normal"/>
    <w:uiPriority w:val="99"/>
    <w:rsid w:val="00EC5EA3"/>
    <w:pPr>
      <w:spacing w:after="0"/>
      <w:jc w:val="center"/>
    </w:pPr>
  </w:style>
  <w:style w:type="paragraph" w:customStyle="1" w:styleId="Background">
    <w:name w:val="Background"/>
    <w:basedOn w:val="Normal"/>
    <w:uiPriority w:val="99"/>
    <w:rsid w:val="004743D4"/>
    <w:pPr>
      <w:numPr>
        <w:numId w:val="12"/>
      </w:numPr>
    </w:pPr>
  </w:style>
  <w:style w:type="paragraph" w:customStyle="1" w:styleId="BackgroundSubClause">
    <w:name w:val="Background Sub Clause"/>
    <w:basedOn w:val="Normal"/>
    <w:uiPriority w:val="99"/>
    <w:rsid w:val="004743D4"/>
    <w:pPr>
      <w:numPr>
        <w:ilvl w:val="1"/>
        <w:numId w:val="12"/>
      </w:numPr>
    </w:pPr>
  </w:style>
  <w:style w:type="paragraph" w:customStyle="1" w:styleId="AgreementHeading">
    <w:name w:val="Agreement Heading"/>
    <w:basedOn w:val="Normal"/>
    <w:uiPriority w:val="99"/>
    <w:rsid w:val="004743D4"/>
    <w:pPr>
      <w:jc w:val="center"/>
    </w:pPr>
    <w:rPr>
      <w:b/>
      <w:u w:val="single"/>
    </w:rPr>
  </w:style>
  <w:style w:type="paragraph" w:customStyle="1" w:styleId="AgreementDescription">
    <w:name w:val="Agreement Description"/>
    <w:basedOn w:val="Normal"/>
    <w:next w:val="Normal"/>
    <w:uiPriority w:val="99"/>
    <w:rsid w:val="004743D4"/>
    <w:pPr>
      <w:jc w:val="center"/>
    </w:pPr>
    <w:rPr>
      <w:b/>
    </w:rPr>
  </w:style>
  <w:style w:type="character" w:customStyle="1" w:styleId="MainHeadingChar">
    <w:name w:val="Main Heading Char"/>
    <w:basedOn w:val="DefaultParagraphFont"/>
    <w:link w:val="MainHeading"/>
    <w:uiPriority w:val="99"/>
    <w:locked/>
    <w:rsid w:val="004743D4"/>
    <w:rPr>
      <w:rFonts w:ascii="Arial" w:hAnsi="Arial" w:cs="Times New Roman"/>
      <w:b/>
      <w:sz w:val="20"/>
      <w:szCs w:val="20"/>
      <w:lang w:eastAsia="en-US"/>
    </w:rPr>
  </w:style>
  <w:style w:type="paragraph" w:customStyle="1" w:styleId="Parties">
    <w:name w:val="Parties"/>
    <w:basedOn w:val="Normal"/>
    <w:uiPriority w:val="99"/>
    <w:rsid w:val="004743D4"/>
    <w:pPr>
      <w:numPr>
        <w:numId w:val="6"/>
      </w:numPr>
    </w:pPr>
  </w:style>
  <w:style w:type="character" w:customStyle="1" w:styleId="MacLevel3TOC">
    <w:name w:val="Mac Level 3 TOC"/>
    <w:basedOn w:val="DefaultParagraphFont"/>
    <w:uiPriority w:val="99"/>
    <w:rsid w:val="004743D4"/>
    <w:rPr>
      <w:rFonts w:ascii="Arial" w:hAnsi="Arial" w:cs="Times New Roman"/>
      <w:b/>
      <w:sz w:val="20"/>
    </w:rPr>
  </w:style>
  <w:style w:type="paragraph" w:customStyle="1" w:styleId="AppendixHeadingTOC">
    <w:name w:val="Appendix Heading TOC"/>
    <w:basedOn w:val="Normal"/>
    <w:next w:val="AppendixSubHeadingTOC"/>
    <w:rsid w:val="004743D4"/>
    <w:pPr>
      <w:numPr>
        <w:numId w:val="21"/>
      </w:numPr>
      <w:tabs>
        <w:tab w:val="num" w:pos="864"/>
      </w:tabs>
      <w:ind w:left="864" w:hanging="864"/>
      <w:jc w:val="center"/>
    </w:pPr>
    <w:rPr>
      <w:b/>
      <w:caps/>
      <w:sz w:val="22"/>
    </w:rPr>
  </w:style>
  <w:style w:type="paragraph" w:customStyle="1" w:styleId="SingleScheduleHeadingTOC">
    <w:name w:val="Single Schedule Heading TOC"/>
    <w:basedOn w:val="Normal"/>
    <w:next w:val="ScheduleSubHeadingTOC"/>
    <w:uiPriority w:val="99"/>
    <w:rsid w:val="004743D4"/>
    <w:pPr>
      <w:numPr>
        <w:numId w:val="10"/>
      </w:numPr>
      <w:jc w:val="center"/>
    </w:pPr>
    <w:rPr>
      <w:b/>
      <w:caps/>
      <w:sz w:val="22"/>
    </w:rPr>
  </w:style>
  <w:style w:type="paragraph" w:customStyle="1" w:styleId="AgreementFooter">
    <w:name w:val="Agreement Footer"/>
    <w:basedOn w:val="Normal"/>
    <w:uiPriority w:val="99"/>
    <w:rsid w:val="004743D4"/>
    <w:pPr>
      <w:tabs>
        <w:tab w:val="center" w:pos="4320"/>
        <w:tab w:val="right" w:pos="8640"/>
      </w:tabs>
    </w:pPr>
    <w:rPr>
      <w:sz w:val="16"/>
    </w:rPr>
  </w:style>
  <w:style w:type="character" w:customStyle="1" w:styleId="HiddenText">
    <w:name w:val="HiddenText"/>
    <w:basedOn w:val="DefaultParagraphFont"/>
    <w:rsid w:val="004743D4"/>
    <w:rPr>
      <w:rFonts w:cs="Times New Roman"/>
      <w:color w:val="FFFFFF"/>
    </w:rPr>
  </w:style>
  <w:style w:type="paragraph" w:customStyle="1" w:styleId="PRECEDENTREFNO">
    <w:name w:val="PRECEDENT REF NO"/>
    <w:basedOn w:val="MainHeadingCentered"/>
    <w:next w:val="MainHeadingCentered"/>
    <w:uiPriority w:val="99"/>
    <w:rsid w:val="004743D4"/>
    <w:pPr>
      <w:jc w:val="right"/>
    </w:pPr>
  </w:style>
  <w:style w:type="character" w:customStyle="1" w:styleId="MacLevel2Char">
    <w:name w:val="Mac Level 2 Char"/>
    <w:link w:val="MacLevel2"/>
    <w:locked/>
    <w:rsid w:val="00041C2A"/>
    <w:rPr>
      <w:rFonts w:ascii="Arial" w:hAnsi="Arial"/>
      <w:sz w:val="20"/>
      <w:szCs w:val="20"/>
      <w:lang w:eastAsia="en-US"/>
    </w:rPr>
  </w:style>
  <w:style w:type="character" w:customStyle="1" w:styleId="Body2Char">
    <w:name w:val="Body 2 Char"/>
    <w:link w:val="Body2"/>
    <w:uiPriority w:val="99"/>
    <w:locked/>
    <w:rsid w:val="00881C46"/>
    <w:rPr>
      <w:rFonts w:ascii="Arial" w:hAnsi="Arial"/>
      <w:sz w:val="20"/>
      <w:lang w:eastAsia="en-US"/>
    </w:rPr>
  </w:style>
  <w:style w:type="character" w:customStyle="1" w:styleId="Body1Char">
    <w:name w:val="Body 1 Char"/>
    <w:link w:val="Body1"/>
    <w:uiPriority w:val="99"/>
    <w:locked/>
    <w:rsid w:val="000B05D5"/>
    <w:rPr>
      <w:rFonts w:ascii="Arial" w:hAnsi="Arial"/>
      <w:sz w:val="20"/>
      <w:lang w:eastAsia="en-US"/>
    </w:rPr>
  </w:style>
  <w:style w:type="paragraph" w:customStyle="1" w:styleId="NormalAshurst">
    <w:name w:val="NormalAshurst"/>
    <w:uiPriority w:val="99"/>
    <w:rsid w:val="003C1D84"/>
    <w:pPr>
      <w:suppressAutoHyphens/>
      <w:spacing w:after="220" w:line="264" w:lineRule="auto"/>
      <w:jc w:val="both"/>
    </w:pPr>
    <w:rPr>
      <w:rFonts w:ascii="Verdana" w:eastAsia="Microsoft JhengHei" w:hAnsi="Verdana"/>
      <w:sz w:val="18"/>
      <w:szCs w:val="20"/>
    </w:rPr>
  </w:style>
  <w:style w:type="paragraph" w:customStyle="1" w:styleId="StandardAshurst">
    <w:name w:val="StandardAshurst"/>
    <w:basedOn w:val="NormalAshurst"/>
    <w:uiPriority w:val="99"/>
    <w:rsid w:val="003C1D84"/>
    <w:pPr>
      <w:spacing w:after="0"/>
    </w:pPr>
  </w:style>
  <w:style w:type="paragraph" w:customStyle="1" w:styleId="CBOLDCAPSAshurst">
    <w:name w:val="CBOLDCAPSAshurst"/>
    <w:basedOn w:val="NormalAshurst"/>
    <w:uiPriority w:val="99"/>
    <w:rsid w:val="003C1D84"/>
    <w:pPr>
      <w:keepNext/>
      <w:jc w:val="center"/>
    </w:pPr>
    <w:rPr>
      <w:b/>
      <w:caps/>
    </w:rPr>
  </w:style>
  <w:style w:type="character" w:customStyle="1" w:styleId="CharChar1">
    <w:name w:val="Char Char1"/>
    <w:uiPriority w:val="99"/>
    <w:locked/>
    <w:rsid w:val="003666E9"/>
    <w:rPr>
      <w:rFonts w:ascii="Arial" w:hAnsi="Arial"/>
      <w:lang w:val="en-GB" w:eastAsia="en-US"/>
    </w:rPr>
  </w:style>
  <w:style w:type="paragraph" w:styleId="ListParagraph">
    <w:name w:val="List Paragraph"/>
    <w:basedOn w:val="Normal"/>
    <w:uiPriority w:val="99"/>
    <w:qFormat/>
    <w:rsid w:val="004743D4"/>
    <w:pPr>
      <w:ind w:left="720"/>
    </w:pPr>
  </w:style>
  <w:style w:type="paragraph" w:customStyle="1" w:styleId="AppendixLevel2">
    <w:name w:val="Appendix Level 2"/>
    <w:basedOn w:val="Normal"/>
    <w:next w:val="Body2"/>
    <w:rsid w:val="004743D4"/>
    <w:pPr>
      <w:numPr>
        <w:ilvl w:val="2"/>
        <w:numId w:val="21"/>
      </w:numPr>
      <w:tabs>
        <w:tab w:val="num" w:pos="2016"/>
      </w:tabs>
    </w:pPr>
  </w:style>
  <w:style w:type="paragraph" w:customStyle="1" w:styleId="AppendixLevel3">
    <w:name w:val="Appendix Level 3"/>
    <w:basedOn w:val="Normal"/>
    <w:next w:val="Body3"/>
    <w:rsid w:val="004743D4"/>
    <w:pPr>
      <w:numPr>
        <w:ilvl w:val="3"/>
        <w:numId w:val="21"/>
      </w:numPr>
      <w:tabs>
        <w:tab w:val="num" w:pos="3456"/>
      </w:tabs>
    </w:pPr>
  </w:style>
  <w:style w:type="paragraph" w:customStyle="1" w:styleId="AppendixLevel4">
    <w:name w:val="Appendix Level 4"/>
    <w:basedOn w:val="Normal"/>
    <w:next w:val="Body4"/>
    <w:rsid w:val="004743D4"/>
    <w:pPr>
      <w:numPr>
        <w:ilvl w:val="4"/>
        <w:numId w:val="21"/>
      </w:numPr>
      <w:tabs>
        <w:tab w:val="num" w:pos="4032"/>
      </w:tabs>
    </w:pPr>
  </w:style>
  <w:style w:type="paragraph" w:customStyle="1" w:styleId="AppendixLevel5">
    <w:name w:val="Appendix Level 5"/>
    <w:basedOn w:val="Normal"/>
    <w:next w:val="Body5"/>
    <w:rsid w:val="004743D4"/>
    <w:pPr>
      <w:numPr>
        <w:ilvl w:val="5"/>
        <w:numId w:val="21"/>
      </w:numPr>
      <w:tabs>
        <w:tab w:val="num" w:pos="4464"/>
      </w:tabs>
    </w:pPr>
  </w:style>
  <w:style w:type="character" w:customStyle="1" w:styleId="Underline">
    <w:name w:val="Underline"/>
    <w:basedOn w:val="DefaultParagraphFont"/>
    <w:uiPriority w:val="99"/>
    <w:rsid w:val="004743D4"/>
    <w:rPr>
      <w:rFonts w:cs="Times New Roman"/>
      <w:u w:val="single"/>
    </w:rPr>
  </w:style>
  <w:style w:type="paragraph" w:customStyle="1" w:styleId="NarrativeBullets">
    <w:name w:val="Narrative Bullets"/>
    <w:basedOn w:val="Normal"/>
    <w:uiPriority w:val="99"/>
    <w:rsid w:val="004743D4"/>
    <w:pPr>
      <w:numPr>
        <w:numId w:val="15"/>
      </w:numPr>
      <w:ind w:left="720" w:hanging="360"/>
    </w:pPr>
  </w:style>
  <w:style w:type="paragraph" w:customStyle="1" w:styleId="NarrativeNumbering">
    <w:name w:val="Narrative Numbering"/>
    <w:uiPriority w:val="99"/>
    <w:rsid w:val="004743D4"/>
    <w:pPr>
      <w:numPr>
        <w:numId w:val="16"/>
      </w:numPr>
      <w:spacing w:after="220"/>
    </w:pPr>
    <w:rPr>
      <w:rFonts w:ascii="Arial" w:hAnsi="Arial"/>
      <w:sz w:val="20"/>
      <w:szCs w:val="20"/>
      <w:lang w:eastAsia="en-US"/>
    </w:rPr>
  </w:style>
  <w:style w:type="paragraph" w:customStyle="1" w:styleId="NarrativeSUBNumbering">
    <w:name w:val="Narrative SUB Numbering"/>
    <w:basedOn w:val="Normal"/>
    <w:uiPriority w:val="99"/>
    <w:rsid w:val="004743D4"/>
    <w:pPr>
      <w:widowControl w:val="0"/>
      <w:numPr>
        <w:numId w:val="17"/>
      </w:numPr>
      <w:jc w:val="left"/>
    </w:pPr>
    <w:rPr>
      <w:szCs w:val="24"/>
    </w:rPr>
  </w:style>
  <w:style w:type="paragraph" w:customStyle="1" w:styleId="SectionHeadingTOC">
    <w:name w:val="Section Heading TOC"/>
    <w:basedOn w:val="Normal"/>
    <w:next w:val="Normal"/>
    <w:rsid w:val="004743D4"/>
    <w:pPr>
      <w:pageBreakBefore/>
      <w:numPr>
        <w:numId w:val="24"/>
      </w:numPr>
      <w:tabs>
        <w:tab w:val="clear" w:pos="864"/>
      </w:tabs>
      <w:spacing w:before="720" w:after="0"/>
      <w:ind w:left="0" w:right="720" w:firstLine="0"/>
      <w:jc w:val="center"/>
    </w:pPr>
    <w:rPr>
      <w:bCs/>
      <w:caps/>
      <w:sz w:val="32"/>
    </w:rPr>
  </w:style>
  <w:style w:type="character" w:styleId="FollowedHyperlink">
    <w:name w:val="FollowedHyperlink"/>
    <w:basedOn w:val="DefaultParagraphFont"/>
    <w:uiPriority w:val="99"/>
    <w:rsid w:val="004743D4"/>
    <w:rPr>
      <w:rFonts w:ascii="Arial" w:hAnsi="Arial" w:cs="Times New Roman"/>
      <w:color w:val="800080"/>
      <w:u w:val="single"/>
    </w:rPr>
  </w:style>
  <w:style w:type="paragraph" w:styleId="Revision">
    <w:name w:val="Revision"/>
    <w:hidden/>
    <w:uiPriority w:val="99"/>
    <w:semiHidden/>
    <w:rsid w:val="002241A6"/>
    <w:rPr>
      <w:rFonts w:ascii="Arial" w:hAnsi="Arial"/>
      <w:sz w:val="20"/>
      <w:szCs w:val="20"/>
      <w:lang w:eastAsia="en-US"/>
    </w:rPr>
  </w:style>
  <w:style w:type="paragraph" w:customStyle="1" w:styleId="MACH10">
    <w:name w:val="MACH1"/>
    <w:basedOn w:val="Normal"/>
    <w:next w:val="Body1"/>
    <w:uiPriority w:val="99"/>
    <w:rsid w:val="00B96FE3"/>
    <w:pPr>
      <w:tabs>
        <w:tab w:val="num" w:pos="864"/>
      </w:tabs>
      <w:ind w:left="864" w:hanging="864"/>
      <w:outlineLvl w:val="0"/>
    </w:pPr>
  </w:style>
  <w:style w:type="paragraph" w:customStyle="1" w:styleId="MACH2">
    <w:name w:val="MACH2"/>
    <w:basedOn w:val="Normal"/>
    <w:next w:val="Body2"/>
    <w:uiPriority w:val="99"/>
    <w:rsid w:val="00B96FE3"/>
    <w:pPr>
      <w:tabs>
        <w:tab w:val="num" w:pos="864"/>
      </w:tabs>
      <w:ind w:left="864" w:hanging="864"/>
      <w:outlineLvl w:val="1"/>
    </w:pPr>
  </w:style>
  <w:style w:type="paragraph" w:customStyle="1" w:styleId="MACH3">
    <w:name w:val="MACH3"/>
    <w:basedOn w:val="Normal"/>
    <w:next w:val="Body3"/>
    <w:uiPriority w:val="99"/>
    <w:rsid w:val="00B96FE3"/>
    <w:pPr>
      <w:tabs>
        <w:tab w:val="num" w:pos="2016"/>
      </w:tabs>
      <w:ind w:left="2016" w:hanging="1152"/>
      <w:outlineLvl w:val="2"/>
    </w:pPr>
  </w:style>
  <w:style w:type="paragraph" w:customStyle="1" w:styleId="MACH4">
    <w:name w:val="MACH4"/>
    <w:basedOn w:val="Normal"/>
    <w:next w:val="Body4"/>
    <w:uiPriority w:val="99"/>
    <w:rsid w:val="00B96FE3"/>
    <w:pPr>
      <w:tabs>
        <w:tab w:val="num" w:pos="3456"/>
      </w:tabs>
      <w:ind w:left="3456" w:hanging="1440"/>
      <w:outlineLvl w:val="3"/>
    </w:pPr>
  </w:style>
  <w:style w:type="paragraph" w:customStyle="1" w:styleId="MACH5">
    <w:name w:val="MACH5"/>
    <w:basedOn w:val="Normal"/>
    <w:next w:val="Body5"/>
    <w:uiPriority w:val="99"/>
    <w:rsid w:val="00B96FE3"/>
    <w:pPr>
      <w:tabs>
        <w:tab w:val="num" w:pos="4032"/>
      </w:tabs>
      <w:ind w:left="4032" w:hanging="576"/>
      <w:outlineLvl w:val="4"/>
    </w:pPr>
  </w:style>
  <w:style w:type="paragraph" w:customStyle="1" w:styleId="MACH6">
    <w:name w:val="MACH6"/>
    <w:basedOn w:val="Normal"/>
    <w:next w:val="Body6"/>
    <w:uiPriority w:val="99"/>
    <w:rsid w:val="00B96FE3"/>
    <w:pPr>
      <w:tabs>
        <w:tab w:val="num" w:pos="4464"/>
      </w:tabs>
      <w:ind w:left="4464" w:hanging="432"/>
      <w:outlineLvl w:val="5"/>
    </w:pPr>
  </w:style>
  <w:style w:type="paragraph" w:customStyle="1" w:styleId="MACH7">
    <w:name w:val="MACH7"/>
    <w:basedOn w:val="Normal"/>
    <w:next w:val="Body7"/>
    <w:uiPriority w:val="99"/>
    <w:rsid w:val="00B96FE3"/>
    <w:pPr>
      <w:numPr>
        <w:ilvl w:val="6"/>
        <w:numId w:val="21"/>
      </w:numPr>
      <w:tabs>
        <w:tab w:val="num" w:pos="4752"/>
      </w:tabs>
      <w:ind w:left="4752" w:hanging="288"/>
      <w:outlineLvl w:val="6"/>
    </w:pPr>
  </w:style>
  <w:style w:type="paragraph" w:customStyle="1" w:styleId="MACH8">
    <w:name w:val="MACH8"/>
    <w:basedOn w:val="Normal"/>
    <w:next w:val="Body8"/>
    <w:uiPriority w:val="99"/>
    <w:rsid w:val="00B96FE3"/>
    <w:pPr>
      <w:numPr>
        <w:ilvl w:val="7"/>
        <w:numId w:val="21"/>
      </w:numPr>
      <w:tabs>
        <w:tab w:val="num" w:pos="5040"/>
      </w:tabs>
      <w:ind w:left="5040" w:hanging="288"/>
      <w:outlineLvl w:val="7"/>
    </w:pPr>
  </w:style>
  <w:style w:type="paragraph" w:customStyle="1" w:styleId="APPENDIXSubHeading">
    <w:name w:val="APPENDIX Sub Heading"/>
    <w:basedOn w:val="Normal"/>
    <w:next w:val="Normal"/>
    <w:uiPriority w:val="99"/>
    <w:rsid w:val="00B96FE3"/>
    <w:pPr>
      <w:keepNext/>
      <w:jc w:val="center"/>
    </w:pPr>
    <w:rPr>
      <w:b/>
      <w:sz w:val="22"/>
    </w:rPr>
  </w:style>
  <w:style w:type="paragraph" w:customStyle="1" w:styleId="APPENDIXHeading">
    <w:name w:val="APPENDIX Heading"/>
    <w:basedOn w:val="Normal"/>
    <w:next w:val="APPENDIXSubHeading"/>
    <w:uiPriority w:val="99"/>
    <w:rsid w:val="00B96FE3"/>
    <w:pPr>
      <w:ind w:left="86"/>
      <w:jc w:val="center"/>
    </w:pPr>
    <w:rPr>
      <w:b/>
      <w:caps/>
      <w:sz w:val="22"/>
    </w:rPr>
  </w:style>
  <w:style w:type="numbering" w:customStyle="1" w:styleId="AppendixLevelsCustomListStyle">
    <w:name w:val="AppendixLevelsCustomListStyle"/>
    <w:uiPriority w:val="99"/>
    <w:rsid w:val="008365E8"/>
    <w:pPr>
      <w:numPr>
        <w:numId w:val="25"/>
      </w:numPr>
    </w:pPr>
  </w:style>
  <w:style w:type="numbering" w:customStyle="1" w:styleId="AppendixLevel1Style">
    <w:name w:val="Appendix Level 1 Style"/>
    <w:rsid w:val="008365E8"/>
    <w:pPr>
      <w:numPr>
        <w:numId w:val="13"/>
      </w:numPr>
    </w:pPr>
  </w:style>
  <w:style w:type="numbering" w:customStyle="1" w:styleId="MACBullets">
    <w:name w:val="MACBullets"/>
    <w:rsid w:val="008365E8"/>
    <w:pPr>
      <w:numPr>
        <w:numId w:val="11"/>
      </w:numPr>
    </w:pPr>
  </w:style>
  <w:style w:type="numbering" w:customStyle="1" w:styleId="MacLevelsCustomListStyle">
    <w:name w:val="MacLevelsCustomListStyle"/>
    <w:rsid w:val="008365E8"/>
    <w:pPr>
      <w:numPr>
        <w:numId w:val="18"/>
      </w:numPr>
    </w:pPr>
  </w:style>
  <w:style w:type="numbering" w:customStyle="1" w:styleId="ScheduleLevelsCustomListStyle">
    <w:name w:val="ScheduleLevelsCustomListStyle"/>
    <w:rsid w:val="008365E8"/>
    <w:pPr>
      <w:numPr>
        <w:numId w:val="19"/>
      </w:numPr>
    </w:pPr>
  </w:style>
  <w:style w:type="paragraph" w:customStyle="1" w:styleId="Default">
    <w:name w:val="Default"/>
    <w:rsid w:val="004064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3D4"/>
    <w:pPr>
      <w:spacing w:after="220"/>
      <w:jc w:val="both"/>
    </w:pPr>
    <w:rPr>
      <w:rFonts w:ascii="Arial" w:hAnsi="Arial"/>
      <w:sz w:val="20"/>
      <w:szCs w:val="20"/>
      <w:lang w:eastAsia="en-US"/>
    </w:rPr>
  </w:style>
  <w:style w:type="paragraph" w:styleId="Heading1">
    <w:name w:val="heading 1"/>
    <w:basedOn w:val="Normal"/>
    <w:next w:val="Normal"/>
    <w:link w:val="Heading1Char"/>
    <w:uiPriority w:val="99"/>
    <w:qFormat/>
    <w:rsid w:val="004743D4"/>
    <w:pPr>
      <w:numPr>
        <w:numId w:val="14"/>
      </w:numPr>
      <w:outlineLvl w:val="0"/>
    </w:pPr>
  </w:style>
  <w:style w:type="paragraph" w:styleId="Heading2">
    <w:name w:val="heading 2"/>
    <w:basedOn w:val="Normal"/>
    <w:next w:val="Normal"/>
    <w:link w:val="Heading2Char"/>
    <w:uiPriority w:val="99"/>
    <w:qFormat/>
    <w:rsid w:val="004743D4"/>
    <w:pPr>
      <w:numPr>
        <w:ilvl w:val="1"/>
        <w:numId w:val="14"/>
      </w:numPr>
      <w:outlineLvl w:val="1"/>
    </w:pPr>
  </w:style>
  <w:style w:type="paragraph" w:styleId="Heading3">
    <w:name w:val="heading 3"/>
    <w:basedOn w:val="Normal"/>
    <w:next w:val="Normal"/>
    <w:link w:val="Heading3Char"/>
    <w:uiPriority w:val="99"/>
    <w:qFormat/>
    <w:rsid w:val="004743D4"/>
    <w:pPr>
      <w:numPr>
        <w:ilvl w:val="2"/>
        <w:numId w:val="14"/>
      </w:numPr>
      <w:outlineLvl w:val="2"/>
    </w:pPr>
  </w:style>
  <w:style w:type="paragraph" w:styleId="Heading4">
    <w:name w:val="heading 4"/>
    <w:basedOn w:val="Normal"/>
    <w:next w:val="Normal"/>
    <w:link w:val="Heading4Char"/>
    <w:uiPriority w:val="99"/>
    <w:qFormat/>
    <w:rsid w:val="004743D4"/>
    <w:pPr>
      <w:numPr>
        <w:ilvl w:val="3"/>
        <w:numId w:val="14"/>
      </w:numPr>
      <w:tabs>
        <w:tab w:val="left" w:pos="2880"/>
      </w:tabs>
      <w:outlineLvl w:val="3"/>
    </w:pPr>
  </w:style>
  <w:style w:type="paragraph" w:styleId="Heading5">
    <w:name w:val="heading 5"/>
    <w:basedOn w:val="Normal"/>
    <w:next w:val="Normal"/>
    <w:link w:val="Heading5Char"/>
    <w:uiPriority w:val="99"/>
    <w:qFormat/>
    <w:rsid w:val="004743D4"/>
    <w:pPr>
      <w:numPr>
        <w:ilvl w:val="4"/>
        <w:numId w:val="14"/>
      </w:numPr>
      <w:tabs>
        <w:tab w:val="left" w:pos="2880"/>
      </w:tabs>
      <w:outlineLvl w:val="4"/>
    </w:pPr>
  </w:style>
  <w:style w:type="paragraph" w:styleId="Heading6">
    <w:name w:val="heading 6"/>
    <w:basedOn w:val="Normal"/>
    <w:next w:val="Normal"/>
    <w:link w:val="Heading6Char"/>
    <w:uiPriority w:val="99"/>
    <w:qFormat/>
    <w:rsid w:val="004743D4"/>
    <w:pPr>
      <w:numPr>
        <w:ilvl w:val="5"/>
        <w:numId w:val="14"/>
      </w:numPr>
      <w:tabs>
        <w:tab w:val="left" w:pos="3600"/>
      </w:tabs>
      <w:outlineLvl w:val="5"/>
    </w:pPr>
  </w:style>
  <w:style w:type="paragraph" w:styleId="Heading7">
    <w:name w:val="heading 7"/>
    <w:basedOn w:val="Normal"/>
    <w:next w:val="Normal"/>
    <w:link w:val="Heading7Char"/>
    <w:uiPriority w:val="99"/>
    <w:qFormat/>
    <w:rsid w:val="004743D4"/>
    <w:pPr>
      <w:numPr>
        <w:ilvl w:val="6"/>
        <w:numId w:val="14"/>
      </w:numPr>
      <w:tabs>
        <w:tab w:val="left" w:pos="4320"/>
      </w:tabs>
      <w:outlineLvl w:val="6"/>
    </w:pPr>
  </w:style>
  <w:style w:type="paragraph" w:styleId="Heading8">
    <w:name w:val="heading 8"/>
    <w:basedOn w:val="Normal"/>
    <w:next w:val="Normal"/>
    <w:link w:val="Heading8Char"/>
    <w:uiPriority w:val="99"/>
    <w:qFormat/>
    <w:rsid w:val="004743D4"/>
    <w:pPr>
      <w:numPr>
        <w:ilvl w:val="7"/>
        <w:numId w:val="14"/>
      </w:numPr>
      <w:tabs>
        <w:tab w:val="left" w:pos="5040"/>
      </w:tabs>
      <w:outlineLvl w:val="7"/>
    </w:pPr>
  </w:style>
  <w:style w:type="paragraph" w:styleId="Heading9">
    <w:name w:val="heading 9"/>
    <w:basedOn w:val="Normal"/>
    <w:next w:val="Normal"/>
    <w:link w:val="Heading9Char"/>
    <w:uiPriority w:val="99"/>
    <w:qFormat/>
    <w:rsid w:val="004743D4"/>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3D4"/>
    <w:rPr>
      <w:rFonts w:ascii="Arial" w:hAnsi="Arial"/>
      <w:sz w:val="20"/>
      <w:szCs w:val="20"/>
      <w:lang w:eastAsia="en-US"/>
    </w:rPr>
  </w:style>
  <w:style w:type="character" w:customStyle="1" w:styleId="Heading2Char">
    <w:name w:val="Heading 2 Char"/>
    <w:basedOn w:val="DefaultParagraphFont"/>
    <w:link w:val="Heading2"/>
    <w:uiPriority w:val="99"/>
    <w:locked/>
    <w:rsid w:val="004743D4"/>
    <w:rPr>
      <w:rFonts w:ascii="Arial" w:hAnsi="Arial"/>
      <w:sz w:val="20"/>
      <w:szCs w:val="20"/>
      <w:lang w:eastAsia="en-US"/>
    </w:rPr>
  </w:style>
  <w:style w:type="character" w:customStyle="1" w:styleId="Heading3Char">
    <w:name w:val="Heading 3 Char"/>
    <w:basedOn w:val="DefaultParagraphFont"/>
    <w:link w:val="Heading3"/>
    <w:uiPriority w:val="99"/>
    <w:locked/>
    <w:rsid w:val="004743D4"/>
    <w:rPr>
      <w:rFonts w:ascii="Arial" w:hAnsi="Arial"/>
      <w:sz w:val="20"/>
      <w:szCs w:val="20"/>
      <w:lang w:eastAsia="en-US"/>
    </w:rPr>
  </w:style>
  <w:style w:type="character" w:customStyle="1" w:styleId="Heading4Char">
    <w:name w:val="Heading 4 Char"/>
    <w:basedOn w:val="DefaultParagraphFont"/>
    <w:link w:val="Heading4"/>
    <w:uiPriority w:val="99"/>
    <w:locked/>
    <w:rsid w:val="004743D4"/>
    <w:rPr>
      <w:rFonts w:ascii="Arial" w:hAnsi="Arial"/>
      <w:sz w:val="20"/>
      <w:szCs w:val="20"/>
      <w:lang w:eastAsia="en-US"/>
    </w:rPr>
  </w:style>
  <w:style w:type="character" w:customStyle="1" w:styleId="Heading5Char">
    <w:name w:val="Heading 5 Char"/>
    <w:basedOn w:val="DefaultParagraphFont"/>
    <w:link w:val="Heading5"/>
    <w:uiPriority w:val="99"/>
    <w:locked/>
    <w:rsid w:val="004743D4"/>
    <w:rPr>
      <w:rFonts w:ascii="Arial" w:hAnsi="Arial"/>
      <w:sz w:val="20"/>
      <w:szCs w:val="20"/>
      <w:lang w:eastAsia="en-US"/>
    </w:rPr>
  </w:style>
  <w:style w:type="character" w:customStyle="1" w:styleId="Heading6Char">
    <w:name w:val="Heading 6 Char"/>
    <w:basedOn w:val="DefaultParagraphFont"/>
    <w:link w:val="Heading6"/>
    <w:uiPriority w:val="99"/>
    <w:locked/>
    <w:rsid w:val="004743D4"/>
    <w:rPr>
      <w:rFonts w:ascii="Arial" w:hAnsi="Arial"/>
      <w:sz w:val="20"/>
      <w:szCs w:val="20"/>
      <w:lang w:eastAsia="en-US"/>
    </w:rPr>
  </w:style>
  <w:style w:type="character" w:customStyle="1" w:styleId="Heading7Char">
    <w:name w:val="Heading 7 Char"/>
    <w:basedOn w:val="DefaultParagraphFont"/>
    <w:link w:val="Heading7"/>
    <w:uiPriority w:val="99"/>
    <w:locked/>
    <w:rsid w:val="004743D4"/>
    <w:rPr>
      <w:rFonts w:ascii="Arial" w:hAnsi="Arial"/>
      <w:sz w:val="20"/>
      <w:szCs w:val="20"/>
      <w:lang w:eastAsia="en-US"/>
    </w:rPr>
  </w:style>
  <w:style w:type="character" w:customStyle="1" w:styleId="Heading8Char">
    <w:name w:val="Heading 8 Char"/>
    <w:basedOn w:val="DefaultParagraphFont"/>
    <w:link w:val="Heading8"/>
    <w:uiPriority w:val="99"/>
    <w:locked/>
    <w:rsid w:val="004743D4"/>
    <w:rPr>
      <w:rFonts w:ascii="Arial" w:hAnsi="Arial"/>
      <w:sz w:val="20"/>
      <w:szCs w:val="20"/>
      <w:lang w:eastAsia="en-US"/>
    </w:rPr>
  </w:style>
  <w:style w:type="character" w:customStyle="1" w:styleId="Heading9Char">
    <w:name w:val="Heading 9 Char"/>
    <w:basedOn w:val="DefaultParagraphFont"/>
    <w:link w:val="Heading9"/>
    <w:uiPriority w:val="99"/>
    <w:locked/>
    <w:rsid w:val="004743D4"/>
    <w:rPr>
      <w:rFonts w:ascii="Arial" w:hAnsi="Arial"/>
      <w:sz w:val="20"/>
      <w:szCs w:val="20"/>
      <w:lang w:eastAsia="en-US"/>
    </w:rPr>
  </w:style>
  <w:style w:type="paragraph" w:styleId="Header">
    <w:name w:val="header"/>
    <w:basedOn w:val="Normal"/>
    <w:link w:val="HeaderChar"/>
    <w:uiPriority w:val="99"/>
    <w:semiHidden/>
    <w:rsid w:val="004743D4"/>
    <w:pPr>
      <w:tabs>
        <w:tab w:val="center" w:pos="4153"/>
        <w:tab w:val="right" w:pos="8306"/>
      </w:tabs>
    </w:pPr>
  </w:style>
  <w:style w:type="character" w:customStyle="1" w:styleId="HeaderChar">
    <w:name w:val="Header Char"/>
    <w:basedOn w:val="DefaultParagraphFont"/>
    <w:link w:val="Header"/>
    <w:uiPriority w:val="99"/>
    <w:semiHidden/>
    <w:locked/>
    <w:rsid w:val="004743D4"/>
    <w:rPr>
      <w:rFonts w:ascii="Arial" w:hAnsi="Arial" w:cs="Times New Roman"/>
      <w:sz w:val="20"/>
      <w:szCs w:val="20"/>
      <w:lang w:eastAsia="en-US"/>
    </w:rPr>
  </w:style>
  <w:style w:type="paragraph" w:styleId="Footer">
    <w:name w:val="footer"/>
    <w:basedOn w:val="Normal"/>
    <w:link w:val="FooterChar"/>
    <w:uiPriority w:val="99"/>
    <w:semiHidden/>
    <w:rsid w:val="004743D4"/>
    <w:pPr>
      <w:tabs>
        <w:tab w:val="center" w:pos="4153"/>
        <w:tab w:val="right" w:pos="8306"/>
      </w:tabs>
      <w:spacing w:after="0"/>
      <w:jc w:val="right"/>
    </w:pPr>
    <w:rPr>
      <w:sz w:val="16"/>
      <w:szCs w:val="16"/>
    </w:rPr>
  </w:style>
  <w:style w:type="character" w:customStyle="1" w:styleId="FooterChar">
    <w:name w:val="Footer Char"/>
    <w:basedOn w:val="DefaultParagraphFont"/>
    <w:link w:val="Footer"/>
    <w:uiPriority w:val="99"/>
    <w:semiHidden/>
    <w:locked/>
    <w:rsid w:val="004743D4"/>
    <w:rPr>
      <w:rFonts w:ascii="Arial" w:hAnsi="Arial" w:cs="Times New Roman"/>
      <w:sz w:val="16"/>
      <w:szCs w:val="16"/>
      <w:lang w:eastAsia="en-US"/>
    </w:rPr>
  </w:style>
  <w:style w:type="paragraph" w:styleId="Index1">
    <w:name w:val="index 1"/>
    <w:basedOn w:val="Normal"/>
    <w:next w:val="Normal"/>
    <w:uiPriority w:val="99"/>
    <w:semiHidden/>
    <w:rsid w:val="00416A25"/>
    <w:pPr>
      <w:ind w:left="220" w:hanging="220"/>
    </w:pPr>
  </w:style>
  <w:style w:type="paragraph" w:styleId="Index2">
    <w:name w:val="index 2"/>
    <w:basedOn w:val="Normal"/>
    <w:next w:val="Normal"/>
    <w:uiPriority w:val="99"/>
    <w:semiHidden/>
    <w:rsid w:val="00416A25"/>
    <w:pPr>
      <w:ind w:left="440" w:hanging="220"/>
    </w:pPr>
  </w:style>
  <w:style w:type="paragraph" w:styleId="Index3">
    <w:name w:val="index 3"/>
    <w:basedOn w:val="Normal"/>
    <w:next w:val="Normal"/>
    <w:uiPriority w:val="99"/>
    <w:semiHidden/>
    <w:rsid w:val="00416A25"/>
    <w:pPr>
      <w:ind w:left="660" w:hanging="220"/>
    </w:pPr>
  </w:style>
  <w:style w:type="paragraph" w:styleId="Index4">
    <w:name w:val="index 4"/>
    <w:basedOn w:val="Normal"/>
    <w:next w:val="Normal"/>
    <w:uiPriority w:val="99"/>
    <w:semiHidden/>
    <w:rsid w:val="00416A25"/>
    <w:pPr>
      <w:ind w:left="880" w:hanging="220"/>
    </w:pPr>
  </w:style>
  <w:style w:type="paragraph" w:styleId="Index5">
    <w:name w:val="index 5"/>
    <w:basedOn w:val="Normal"/>
    <w:next w:val="Normal"/>
    <w:uiPriority w:val="99"/>
    <w:semiHidden/>
    <w:rsid w:val="00416A25"/>
    <w:pPr>
      <w:ind w:left="1100" w:hanging="220"/>
    </w:pPr>
  </w:style>
  <w:style w:type="paragraph" w:styleId="Index6">
    <w:name w:val="index 6"/>
    <w:basedOn w:val="Normal"/>
    <w:next w:val="Normal"/>
    <w:uiPriority w:val="99"/>
    <w:semiHidden/>
    <w:rsid w:val="00416A25"/>
    <w:pPr>
      <w:ind w:left="1320" w:hanging="220"/>
    </w:pPr>
  </w:style>
  <w:style w:type="paragraph" w:styleId="Index7">
    <w:name w:val="index 7"/>
    <w:basedOn w:val="Normal"/>
    <w:next w:val="Normal"/>
    <w:uiPriority w:val="99"/>
    <w:semiHidden/>
    <w:rsid w:val="00416A25"/>
    <w:pPr>
      <w:ind w:left="1540" w:hanging="220"/>
    </w:pPr>
  </w:style>
  <w:style w:type="paragraph" w:styleId="Index8">
    <w:name w:val="index 8"/>
    <w:basedOn w:val="Normal"/>
    <w:next w:val="Normal"/>
    <w:uiPriority w:val="99"/>
    <w:semiHidden/>
    <w:rsid w:val="00416A25"/>
    <w:pPr>
      <w:ind w:left="1760" w:hanging="220"/>
    </w:pPr>
  </w:style>
  <w:style w:type="paragraph" w:styleId="Index9">
    <w:name w:val="index 9"/>
    <w:basedOn w:val="Normal"/>
    <w:next w:val="Normal"/>
    <w:uiPriority w:val="99"/>
    <w:semiHidden/>
    <w:rsid w:val="00416A25"/>
    <w:pPr>
      <w:ind w:left="1980" w:hanging="220"/>
    </w:pPr>
  </w:style>
  <w:style w:type="paragraph" w:styleId="TOC1">
    <w:name w:val="toc 1"/>
    <w:basedOn w:val="Normal"/>
    <w:next w:val="Normal"/>
    <w:uiPriority w:val="99"/>
    <w:rsid w:val="00416A25"/>
    <w:pPr>
      <w:tabs>
        <w:tab w:val="right" w:leader="dot" w:pos="9020"/>
      </w:tabs>
      <w:spacing w:after="240"/>
      <w:ind w:left="864" w:right="864" w:hanging="864"/>
    </w:pPr>
  </w:style>
  <w:style w:type="paragraph" w:styleId="TOC2">
    <w:name w:val="toc 2"/>
    <w:basedOn w:val="TOC1"/>
    <w:next w:val="Normal"/>
    <w:uiPriority w:val="99"/>
    <w:rsid w:val="00416A25"/>
    <w:pPr>
      <w:ind w:left="1728"/>
    </w:pPr>
  </w:style>
  <w:style w:type="paragraph" w:styleId="TOC3">
    <w:name w:val="toc 3"/>
    <w:basedOn w:val="TOC1"/>
    <w:next w:val="Normal"/>
    <w:uiPriority w:val="99"/>
    <w:rsid w:val="00416A25"/>
    <w:pPr>
      <w:ind w:left="2592"/>
    </w:pPr>
  </w:style>
  <w:style w:type="paragraph" w:styleId="TOC4">
    <w:name w:val="toc 4"/>
    <w:basedOn w:val="TOC1"/>
    <w:next w:val="Normal"/>
    <w:uiPriority w:val="99"/>
    <w:rsid w:val="00416A25"/>
    <w:pPr>
      <w:ind w:left="0" w:firstLine="0"/>
    </w:pPr>
  </w:style>
  <w:style w:type="paragraph" w:styleId="TOC5">
    <w:name w:val="toc 5"/>
    <w:basedOn w:val="TOC1"/>
    <w:next w:val="Normal"/>
    <w:uiPriority w:val="99"/>
    <w:rsid w:val="00416A25"/>
    <w:pPr>
      <w:ind w:firstLine="0"/>
    </w:pPr>
  </w:style>
  <w:style w:type="paragraph" w:styleId="TOC6">
    <w:name w:val="toc 6"/>
    <w:basedOn w:val="Normal"/>
    <w:next w:val="Normal"/>
    <w:uiPriority w:val="99"/>
    <w:semiHidden/>
    <w:rsid w:val="00416A25"/>
    <w:pPr>
      <w:ind w:left="1100"/>
    </w:pPr>
  </w:style>
  <w:style w:type="paragraph" w:styleId="TOC7">
    <w:name w:val="toc 7"/>
    <w:basedOn w:val="Normal"/>
    <w:next w:val="Normal"/>
    <w:uiPriority w:val="99"/>
    <w:semiHidden/>
    <w:rsid w:val="00416A25"/>
    <w:pPr>
      <w:ind w:left="1320"/>
    </w:pPr>
  </w:style>
  <w:style w:type="paragraph" w:styleId="TOC8">
    <w:name w:val="toc 8"/>
    <w:basedOn w:val="Normal"/>
    <w:next w:val="Normal"/>
    <w:uiPriority w:val="99"/>
    <w:semiHidden/>
    <w:rsid w:val="00416A25"/>
    <w:pPr>
      <w:ind w:left="1540"/>
    </w:pPr>
  </w:style>
  <w:style w:type="paragraph" w:styleId="TOC9">
    <w:name w:val="toc 9"/>
    <w:basedOn w:val="Normal"/>
    <w:next w:val="Normal"/>
    <w:uiPriority w:val="99"/>
    <w:semiHidden/>
    <w:rsid w:val="00416A25"/>
    <w:pPr>
      <w:ind w:left="1760"/>
    </w:pPr>
  </w:style>
  <w:style w:type="paragraph" w:customStyle="1" w:styleId="Body">
    <w:name w:val="Body"/>
    <w:basedOn w:val="Normal"/>
    <w:link w:val="BodyChar"/>
    <w:uiPriority w:val="99"/>
    <w:rsid w:val="00416A25"/>
    <w:rPr>
      <w:rFonts w:ascii="Times New Roman" w:hAnsi="Times New Roman"/>
      <w:sz w:val="22"/>
      <w:lang w:eastAsia="en-GB"/>
    </w:rPr>
  </w:style>
  <w:style w:type="paragraph" w:customStyle="1" w:styleId="DefinitionBody1">
    <w:name w:val="Definition Body 1"/>
    <w:basedOn w:val="Body"/>
    <w:uiPriority w:val="99"/>
    <w:rsid w:val="00416A25"/>
    <w:pPr>
      <w:ind w:left="864"/>
    </w:pPr>
  </w:style>
  <w:style w:type="paragraph" w:customStyle="1" w:styleId="Definition1">
    <w:name w:val="Definition 1"/>
    <w:basedOn w:val="DefinitionBody1"/>
    <w:uiPriority w:val="99"/>
    <w:rsid w:val="00416A25"/>
    <w:pPr>
      <w:numPr>
        <w:numId w:val="1"/>
      </w:numPr>
      <w:outlineLvl w:val="0"/>
    </w:pPr>
  </w:style>
  <w:style w:type="paragraph" w:customStyle="1" w:styleId="DefinitionBody2">
    <w:name w:val="Definition Body 2"/>
    <w:basedOn w:val="Body"/>
    <w:uiPriority w:val="99"/>
    <w:rsid w:val="00416A25"/>
    <w:pPr>
      <w:ind w:left="1728"/>
    </w:pPr>
  </w:style>
  <w:style w:type="paragraph" w:customStyle="1" w:styleId="Definition2">
    <w:name w:val="Definition 2"/>
    <w:basedOn w:val="DefinitionBody2"/>
    <w:uiPriority w:val="99"/>
    <w:rsid w:val="00416A25"/>
    <w:pPr>
      <w:numPr>
        <w:ilvl w:val="1"/>
        <w:numId w:val="1"/>
      </w:numPr>
      <w:outlineLvl w:val="1"/>
    </w:pPr>
  </w:style>
  <w:style w:type="paragraph" w:customStyle="1" w:styleId="DefinitionHeading">
    <w:name w:val="Definition Heading"/>
    <w:basedOn w:val="Body"/>
    <w:uiPriority w:val="99"/>
    <w:rsid w:val="00416A25"/>
    <w:pPr>
      <w:ind w:left="105" w:hanging="105"/>
      <w:jc w:val="left"/>
    </w:pPr>
    <w:rPr>
      <w:b/>
      <w:bCs/>
    </w:rPr>
  </w:style>
  <w:style w:type="paragraph" w:customStyle="1" w:styleId="ScheduleHeading">
    <w:name w:val="Schedule Heading"/>
    <w:basedOn w:val="Body"/>
    <w:next w:val="ScheduleSubHeading"/>
    <w:link w:val="ScheduleHeadingChar"/>
    <w:uiPriority w:val="99"/>
    <w:rsid w:val="00416A25"/>
    <w:pPr>
      <w:keepNext/>
      <w:numPr>
        <w:numId w:val="2"/>
      </w:numPr>
      <w:jc w:val="center"/>
    </w:pPr>
    <w:rPr>
      <w:b/>
      <w:bCs/>
      <w:caps/>
      <w:sz w:val="20"/>
      <w:lang w:eastAsia="zh-CN"/>
    </w:rPr>
  </w:style>
  <w:style w:type="paragraph" w:customStyle="1" w:styleId="ScheduleSubHeading">
    <w:name w:val="Schedule Sub Heading"/>
    <w:basedOn w:val="Body"/>
    <w:next w:val="Body"/>
    <w:uiPriority w:val="99"/>
    <w:rsid w:val="00416A25"/>
    <w:pPr>
      <w:keepNext/>
      <w:numPr>
        <w:ilvl w:val="1"/>
        <w:numId w:val="2"/>
      </w:numPr>
      <w:jc w:val="center"/>
    </w:pPr>
    <w:rPr>
      <w:b/>
      <w:bCs/>
    </w:rPr>
  </w:style>
  <w:style w:type="paragraph" w:customStyle="1" w:styleId="Body1">
    <w:name w:val="Body 1"/>
    <w:basedOn w:val="Normal"/>
    <w:link w:val="Body1Char"/>
    <w:uiPriority w:val="99"/>
    <w:rsid w:val="004743D4"/>
    <w:pPr>
      <w:ind w:left="864"/>
    </w:pPr>
  </w:style>
  <w:style w:type="paragraph" w:customStyle="1" w:styleId="Level1">
    <w:name w:val="Level 1"/>
    <w:basedOn w:val="Body1"/>
    <w:uiPriority w:val="99"/>
    <w:rsid w:val="00416A25"/>
    <w:pPr>
      <w:numPr>
        <w:numId w:val="4"/>
      </w:numPr>
      <w:outlineLvl w:val="0"/>
    </w:pPr>
  </w:style>
  <w:style w:type="character" w:customStyle="1" w:styleId="Level1asHeadingtext">
    <w:name w:val="Level 1 as Heading (text)"/>
    <w:uiPriority w:val="99"/>
    <w:rsid w:val="00416A25"/>
    <w:rPr>
      <w:b/>
      <w:caps/>
    </w:rPr>
  </w:style>
  <w:style w:type="paragraph" w:customStyle="1" w:styleId="Body2">
    <w:name w:val="Body 2"/>
    <w:basedOn w:val="Normal"/>
    <w:link w:val="Body2Char"/>
    <w:uiPriority w:val="99"/>
    <w:rsid w:val="004743D4"/>
    <w:pPr>
      <w:ind w:left="864"/>
    </w:pPr>
  </w:style>
  <w:style w:type="paragraph" w:customStyle="1" w:styleId="Level2">
    <w:name w:val="Level 2"/>
    <w:basedOn w:val="Body2"/>
    <w:uiPriority w:val="99"/>
    <w:rsid w:val="00416A25"/>
    <w:pPr>
      <w:numPr>
        <w:ilvl w:val="1"/>
        <w:numId w:val="4"/>
      </w:numPr>
      <w:outlineLvl w:val="1"/>
    </w:pPr>
  </w:style>
  <w:style w:type="character" w:customStyle="1" w:styleId="Level2asHeadingtext">
    <w:name w:val="Level 2 as Heading (text)"/>
    <w:uiPriority w:val="99"/>
    <w:rsid w:val="00416A25"/>
    <w:rPr>
      <w:b/>
    </w:rPr>
  </w:style>
  <w:style w:type="paragraph" w:customStyle="1" w:styleId="Body3">
    <w:name w:val="Body 3"/>
    <w:basedOn w:val="Normal"/>
    <w:uiPriority w:val="99"/>
    <w:rsid w:val="004743D4"/>
    <w:pPr>
      <w:ind w:left="2016"/>
    </w:pPr>
  </w:style>
  <w:style w:type="paragraph" w:customStyle="1" w:styleId="Level3">
    <w:name w:val="Level 3"/>
    <w:basedOn w:val="Body3"/>
    <w:uiPriority w:val="99"/>
    <w:rsid w:val="00416A25"/>
    <w:pPr>
      <w:numPr>
        <w:ilvl w:val="2"/>
        <w:numId w:val="4"/>
      </w:numPr>
      <w:outlineLvl w:val="2"/>
    </w:pPr>
  </w:style>
  <w:style w:type="character" w:customStyle="1" w:styleId="Level3asHeadingtext">
    <w:name w:val="Level 3 as Heading (text)"/>
    <w:uiPriority w:val="99"/>
    <w:rsid w:val="00416A25"/>
    <w:rPr>
      <w:b/>
    </w:rPr>
  </w:style>
  <w:style w:type="paragraph" w:customStyle="1" w:styleId="Body4">
    <w:name w:val="Body 4"/>
    <w:basedOn w:val="Normal"/>
    <w:uiPriority w:val="99"/>
    <w:rsid w:val="004743D4"/>
    <w:pPr>
      <w:ind w:left="3456"/>
    </w:pPr>
  </w:style>
  <w:style w:type="paragraph" w:customStyle="1" w:styleId="Level4">
    <w:name w:val="Level 4"/>
    <w:basedOn w:val="Body4"/>
    <w:uiPriority w:val="99"/>
    <w:rsid w:val="00416A25"/>
    <w:pPr>
      <w:numPr>
        <w:ilvl w:val="3"/>
        <w:numId w:val="4"/>
      </w:numPr>
      <w:outlineLvl w:val="3"/>
    </w:pPr>
  </w:style>
  <w:style w:type="paragraph" w:customStyle="1" w:styleId="Body5">
    <w:name w:val="Body 5"/>
    <w:basedOn w:val="Normal"/>
    <w:uiPriority w:val="99"/>
    <w:rsid w:val="004743D4"/>
    <w:pPr>
      <w:ind w:left="4032"/>
    </w:pPr>
  </w:style>
  <w:style w:type="paragraph" w:customStyle="1" w:styleId="Level5">
    <w:name w:val="Level 5"/>
    <w:basedOn w:val="Body5"/>
    <w:uiPriority w:val="99"/>
    <w:rsid w:val="00416A25"/>
    <w:pPr>
      <w:numPr>
        <w:ilvl w:val="4"/>
        <w:numId w:val="4"/>
      </w:numPr>
      <w:outlineLvl w:val="4"/>
    </w:pPr>
  </w:style>
  <w:style w:type="paragraph" w:customStyle="1" w:styleId="Body6">
    <w:name w:val="Body 6"/>
    <w:basedOn w:val="Normal"/>
    <w:uiPriority w:val="1"/>
    <w:qFormat/>
    <w:rsid w:val="004743D4"/>
    <w:pPr>
      <w:ind w:left="4464"/>
    </w:pPr>
  </w:style>
  <w:style w:type="paragraph" w:customStyle="1" w:styleId="Level6">
    <w:name w:val="Level 6"/>
    <w:basedOn w:val="Body6"/>
    <w:uiPriority w:val="99"/>
    <w:rsid w:val="00416A25"/>
    <w:pPr>
      <w:numPr>
        <w:ilvl w:val="5"/>
        <w:numId w:val="4"/>
      </w:numPr>
      <w:outlineLvl w:val="5"/>
    </w:pPr>
  </w:style>
  <w:style w:type="paragraph" w:customStyle="1" w:styleId="Body7">
    <w:name w:val="Body 7"/>
    <w:basedOn w:val="Normal"/>
    <w:uiPriority w:val="99"/>
    <w:rsid w:val="004743D4"/>
    <w:pPr>
      <w:ind w:left="4752"/>
    </w:pPr>
  </w:style>
  <w:style w:type="paragraph" w:customStyle="1" w:styleId="Level7">
    <w:name w:val="Level 7"/>
    <w:basedOn w:val="Body7"/>
    <w:uiPriority w:val="99"/>
    <w:rsid w:val="00416A25"/>
    <w:pPr>
      <w:numPr>
        <w:ilvl w:val="6"/>
        <w:numId w:val="4"/>
      </w:numPr>
      <w:outlineLvl w:val="6"/>
    </w:pPr>
  </w:style>
  <w:style w:type="paragraph" w:customStyle="1" w:styleId="Bullet1">
    <w:name w:val="Bullet 1"/>
    <w:basedOn w:val="Body"/>
    <w:uiPriority w:val="99"/>
    <w:rsid w:val="00416A25"/>
    <w:pPr>
      <w:numPr>
        <w:numId w:val="3"/>
      </w:numPr>
      <w:outlineLvl w:val="0"/>
    </w:pPr>
  </w:style>
  <w:style w:type="paragraph" w:customStyle="1" w:styleId="Bullet2">
    <w:name w:val="Bullet 2"/>
    <w:basedOn w:val="Body"/>
    <w:uiPriority w:val="99"/>
    <w:rsid w:val="00416A25"/>
    <w:pPr>
      <w:numPr>
        <w:ilvl w:val="1"/>
        <w:numId w:val="3"/>
      </w:numPr>
      <w:outlineLvl w:val="1"/>
    </w:pPr>
  </w:style>
  <w:style w:type="paragraph" w:customStyle="1" w:styleId="Bullet3">
    <w:name w:val="Bullet 3"/>
    <w:basedOn w:val="Body"/>
    <w:uiPriority w:val="99"/>
    <w:rsid w:val="00416A25"/>
    <w:pPr>
      <w:numPr>
        <w:ilvl w:val="2"/>
        <w:numId w:val="3"/>
      </w:numPr>
      <w:outlineLvl w:val="2"/>
    </w:pPr>
  </w:style>
  <w:style w:type="paragraph" w:customStyle="1" w:styleId="Bullet4">
    <w:name w:val="Bullet 4"/>
    <w:basedOn w:val="Body"/>
    <w:uiPriority w:val="99"/>
    <w:rsid w:val="00416A25"/>
    <w:pPr>
      <w:numPr>
        <w:ilvl w:val="3"/>
        <w:numId w:val="3"/>
      </w:numPr>
      <w:outlineLvl w:val="3"/>
    </w:pPr>
  </w:style>
  <w:style w:type="paragraph" w:customStyle="1" w:styleId="Bullet5">
    <w:name w:val="Bullet 5"/>
    <w:basedOn w:val="Body"/>
    <w:uiPriority w:val="99"/>
    <w:rsid w:val="00416A25"/>
    <w:pPr>
      <w:numPr>
        <w:ilvl w:val="4"/>
        <w:numId w:val="3"/>
      </w:numPr>
      <w:outlineLvl w:val="4"/>
    </w:pPr>
  </w:style>
  <w:style w:type="paragraph" w:customStyle="1" w:styleId="Bullet6">
    <w:name w:val="Bullet 6"/>
    <w:basedOn w:val="Body"/>
    <w:uiPriority w:val="99"/>
    <w:rsid w:val="00416A25"/>
    <w:pPr>
      <w:numPr>
        <w:ilvl w:val="5"/>
        <w:numId w:val="3"/>
      </w:numPr>
      <w:outlineLvl w:val="5"/>
    </w:pPr>
  </w:style>
  <w:style w:type="paragraph" w:customStyle="1" w:styleId="Bullet7">
    <w:name w:val="Bullet 7"/>
    <w:basedOn w:val="Body"/>
    <w:uiPriority w:val="99"/>
    <w:rsid w:val="00416A25"/>
    <w:pPr>
      <w:numPr>
        <w:ilvl w:val="6"/>
        <w:numId w:val="3"/>
      </w:numPr>
      <w:outlineLvl w:val="6"/>
    </w:pPr>
  </w:style>
  <w:style w:type="paragraph" w:customStyle="1" w:styleId="Bullet8">
    <w:name w:val="Bullet 8"/>
    <w:basedOn w:val="Body"/>
    <w:uiPriority w:val="99"/>
    <w:rsid w:val="00416A25"/>
    <w:pPr>
      <w:numPr>
        <w:ilvl w:val="7"/>
        <w:numId w:val="3"/>
      </w:numPr>
      <w:outlineLvl w:val="7"/>
    </w:pPr>
  </w:style>
  <w:style w:type="paragraph" w:customStyle="1" w:styleId="Bullet9">
    <w:name w:val="Bullet 9"/>
    <w:basedOn w:val="Body"/>
    <w:uiPriority w:val="99"/>
    <w:rsid w:val="00416A25"/>
    <w:pPr>
      <w:numPr>
        <w:ilvl w:val="8"/>
        <w:numId w:val="3"/>
      </w:numPr>
      <w:outlineLvl w:val="8"/>
    </w:pPr>
  </w:style>
  <w:style w:type="paragraph" w:styleId="EndnoteText">
    <w:name w:val="endnote text"/>
    <w:basedOn w:val="Normal"/>
    <w:link w:val="EndnoteTextChar"/>
    <w:uiPriority w:val="99"/>
    <w:semiHidden/>
    <w:rsid w:val="004743D4"/>
    <w:pPr>
      <w:spacing w:after="0"/>
    </w:pPr>
    <w:rPr>
      <w:sz w:val="18"/>
    </w:rPr>
  </w:style>
  <w:style w:type="character" w:customStyle="1" w:styleId="EndnoteTextChar">
    <w:name w:val="Endnote Text Char"/>
    <w:basedOn w:val="DefaultParagraphFont"/>
    <w:link w:val="EndnoteText"/>
    <w:uiPriority w:val="99"/>
    <w:semiHidden/>
    <w:locked/>
    <w:rsid w:val="004743D4"/>
    <w:rPr>
      <w:rFonts w:ascii="Arial" w:hAnsi="Arial" w:cs="Times New Roman"/>
      <w:sz w:val="20"/>
      <w:szCs w:val="20"/>
      <w:lang w:eastAsia="en-US"/>
    </w:rPr>
  </w:style>
  <w:style w:type="paragraph" w:styleId="FootnoteText">
    <w:name w:val="footnote text"/>
    <w:basedOn w:val="Normal"/>
    <w:link w:val="FootnoteTextChar"/>
    <w:uiPriority w:val="99"/>
    <w:semiHidden/>
    <w:rsid w:val="004743D4"/>
    <w:pPr>
      <w:spacing w:after="0"/>
    </w:pPr>
    <w:rPr>
      <w:sz w:val="18"/>
    </w:rPr>
  </w:style>
  <w:style w:type="character" w:customStyle="1" w:styleId="FootnoteTextChar">
    <w:name w:val="Footnote Text Char"/>
    <w:basedOn w:val="DefaultParagraphFont"/>
    <w:link w:val="FootnoteText"/>
    <w:uiPriority w:val="99"/>
    <w:semiHidden/>
    <w:locked/>
    <w:rsid w:val="004743D4"/>
    <w:rPr>
      <w:rFonts w:ascii="Arial" w:hAnsi="Arial" w:cs="Times New Roman"/>
      <w:sz w:val="20"/>
      <w:szCs w:val="20"/>
      <w:lang w:eastAsia="en-US"/>
    </w:rPr>
  </w:style>
  <w:style w:type="table" w:styleId="TableGrid">
    <w:name w:val="Table Grid"/>
    <w:basedOn w:val="TableNormal"/>
    <w:uiPriority w:val="99"/>
    <w:rsid w:val="00416A25"/>
    <w:pPr>
      <w:adjustRightInd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link w:val="Body"/>
    <w:uiPriority w:val="99"/>
    <w:locked/>
    <w:rsid w:val="007A06F3"/>
    <w:rPr>
      <w:sz w:val="22"/>
      <w:lang w:val="en-GB" w:eastAsia="en-GB"/>
    </w:rPr>
  </w:style>
  <w:style w:type="character" w:customStyle="1" w:styleId="ScheduleHeadingChar">
    <w:name w:val="Schedule Heading Char"/>
    <w:link w:val="ScheduleHeading"/>
    <w:uiPriority w:val="99"/>
    <w:locked/>
    <w:rsid w:val="007A06F3"/>
    <w:rPr>
      <w:b/>
      <w:bCs/>
      <w:caps/>
      <w:sz w:val="20"/>
      <w:szCs w:val="20"/>
      <w:lang w:eastAsia="zh-CN"/>
    </w:rPr>
  </w:style>
  <w:style w:type="character" w:styleId="FootnoteReference">
    <w:name w:val="footnote reference"/>
    <w:basedOn w:val="DefaultParagraphFont"/>
    <w:uiPriority w:val="99"/>
    <w:semiHidden/>
    <w:rsid w:val="004743D4"/>
    <w:rPr>
      <w:rFonts w:cs="Times New Roman"/>
      <w:vertAlign w:val="superscript"/>
    </w:rPr>
  </w:style>
  <w:style w:type="character" w:styleId="Hyperlink">
    <w:name w:val="Hyperlink"/>
    <w:basedOn w:val="DefaultParagraphFont"/>
    <w:uiPriority w:val="99"/>
    <w:rsid w:val="004743D4"/>
    <w:rPr>
      <w:rFonts w:ascii="Arial" w:hAnsi="Arial" w:cs="Times New Roman"/>
      <w:color w:val="0000FF"/>
      <w:u w:val="single"/>
    </w:rPr>
  </w:style>
  <w:style w:type="character" w:styleId="PageNumber">
    <w:name w:val="page number"/>
    <w:basedOn w:val="DefaultParagraphFont"/>
    <w:uiPriority w:val="99"/>
    <w:rsid w:val="004743D4"/>
    <w:rPr>
      <w:rFonts w:ascii="Arial" w:hAnsi="Arial" w:cs="Times New Roman"/>
      <w:sz w:val="16"/>
    </w:rPr>
  </w:style>
  <w:style w:type="paragraph" w:customStyle="1" w:styleId="Text">
    <w:name w:val="Text"/>
    <w:basedOn w:val="Normal"/>
    <w:uiPriority w:val="99"/>
    <w:rsid w:val="000F38A0"/>
    <w:pPr>
      <w:tabs>
        <w:tab w:val="left" w:pos="284"/>
      </w:tabs>
      <w:spacing w:after="260"/>
    </w:pPr>
  </w:style>
  <w:style w:type="paragraph" w:styleId="NormalIndent">
    <w:name w:val="Normal Indent"/>
    <w:basedOn w:val="Normal"/>
    <w:uiPriority w:val="99"/>
    <w:rsid w:val="00973F02"/>
    <w:pPr>
      <w:ind w:left="720"/>
      <w:jc w:val="left"/>
    </w:pPr>
    <w:rPr>
      <w:sz w:val="26"/>
    </w:rPr>
  </w:style>
  <w:style w:type="paragraph" w:styleId="BodyText">
    <w:name w:val="Body Text"/>
    <w:basedOn w:val="Normal"/>
    <w:link w:val="BodyTextChar"/>
    <w:uiPriority w:val="99"/>
    <w:semiHidden/>
    <w:rsid w:val="004743D4"/>
    <w:rPr>
      <w:i/>
      <w:iCs/>
    </w:rPr>
  </w:style>
  <w:style w:type="character" w:customStyle="1" w:styleId="BodyTextChar">
    <w:name w:val="Body Text Char"/>
    <w:basedOn w:val="DefaultParagraphFont"/>
    <w:link w:val="BodyText"/>
    <w:uiPriority w:val="99"/>
    <w:semiHidden/>
    <w:locked/>
    <w:rsid w:val="004743D4"/>
    <w:rPr>
      <w:rFonts w:ascii="Arial" w:hAnsi="Arial" w:cs="Times New Roman"/>
      <w:i/>
      <w:iCs/>
      <w:sz w:val="20"/>
      <w:szCs w:val="20"/>
      <w:lang w:eastAsia="en-US"/>
    </w:rPr>
  </w:style>
  <w:style w:type="paragraph" w:styleId="Title">
    <w:name w:val="Title"/>
    <w:basedOn w:val="Normal"/>
    <w:link w:val="TitleChar"/>
    <w:uiPriority w:val="99"/>
    <w:qFormat/>
    <w:rsid w:val="00973F02"/>
    <w:pPr>
      <w:pBdr>
        <w:bottom w:val="single" w:sz="12" w:space="1" w:color="auto"/>
      </w:pBdr>
      <w:jc w:val="center"/>
    </w:pPr>
    <w:rPr>
      <w:b/>
      <w:color w:val="000000"/>
    </w:rPr>
  </w:style>
  <w:style w:type="character" w:customStyle="1" w:styleId="TitleChar">
    <w:name w:val="Title Char"/>
    <w:basedOn w:val="DefaultParagraphFont"/>
    <w:link w:val="Title"/>
    <w:uiPriority w:val="99"/>
    <w:locked/>
    <w:rsid w:val="00F369E7"/>
    <w:rPr>
      <w:rFonts w:ascii="Cambria" w:hAnsi="Cambria" w:cs="Times New Roman"/>
      <w:b/>
      <w:bCs/>
      <w:kern w:val="28"/>
      <w:sz w:val="32"/>
      <w:szCs w:val="32"/>
      <w:lang w:eastAsia="en-US"/>
    </w:rPr>
  </w:style>
  <w:style w:type="paragraph" w:styleId="BodyText2">
    <w:name w:val="Body Text 2"/>
    <w:basedOn w:val="Normal"/>
    <w:link w:val="BodyText2Char"/>
    <w:uiPriority w:val="99"/>
    <w:semiHidden/>
    <w:rsid w:val="004743D4"/>
    <w:rPr>
      <w:u w:val="single"/>
    </w:rPr>
  </w:style>
  <w:style w:type="character" w:customStyle="1" w:styleId="BodyText2Char">
    <w:name w:val="Body Text 2 Char"/>
    <w:basedOn w:val="DefaultParagraphFont"/>
    <w:link w:val="BodyText2"/>
    <w:uiPriority w:val="99"/>
    <w:semiHidden/>
    <w:locked/>
    <w:rsid w:val="004743D4"/>
    <w:rPr>
      <w:rFonts w:ascii="Arial" w:hAnsi="Arial" w:cs="Times New Roman"/>
      <w:sz w:val="20"/>
      <w:szCs w:val="20"/>
      <w:u w:val="single"/>
      <w:lang w:eastAsia="en-US"/>
    </w:rPr>
  </w:style>
  <w:style w:type="paragraph" w:styleId="Subtitle">
    <w:name w:val="Subtitle"/>
    <w:basedOn w:val="Normal"/>
    <w:link w:val="SubtitleChar"/>
    <w:uiPriority w:val="99"/>
    <w:qFormat/>
    <w:rsid w:val="00973F02"/>
    <w:pPr>
      <w:tabs>
        <w:tab w:val="left" w:pos="2970"/>
        <w:tab w:val="center" w:pos="6480"/>
      </w:tabs>
      <w:spacing w:line="240" w:lineRule="atLeast"/>
    </w:pPr>
    <w:rPr>
      <w:b/>
      <w:i/>
    </w:rPr>
  </w:style>
  <w:style w:type="character" w:customStyle="1" w:styleId="SubtitleChar">
    <w:name w:val="Subtitle Char"/>
    <w:basedOn w:val="DefaultParagraphFont"/>
    <w:link w:val="Subtitle"/>
    <w:uiPriority w:val="99"/>
    <w:locked/>
    <w:rsid w:val="00F369E7"/>
    <w:rPr>
      <w:rFonts w:ascii="Cambria" w:hAnsi="Cambria" w:cs="Times New Roman"/>
      <w:sz w:val="24"/>
      <w:szCs w:val="24"/>
      <w:lang w:eastAsia="en-US"/>
    </w:rPr>
  </w:style>
  <w:style w:type="paragraph" w:styleId="BalloonText">
    <w:name w:val="Balloon Text"/>
    <w:basedOn w:val="Normal"/>
    <w:link w:val="BalloonTextChar"/>
    <w:uiPriority w:val="99"/>
    <w:semiHidden/>
    <w:rsid w:val="00EC5EA3"/>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EC5EA3"/>
    <w:rPr>
      <w:rFonts w:ascii="Tahoma" w:hAnsi="Tahoma" w:cs="Times New Roman"/>
      <w:sz w:val="16"/>
      <w:lang w:eastAsia="en-US"/>
    </w:rPr>
  </w:style>
  <w:style w:type="paragraph" w:customStyle="1" w:styleId="CharChar1CharCharCharCharCharCharCharCharCharCharCharCharCharChar">
    <w:name w:val="Char Char1 Char Char Char Char Char Char Char Char Char Char Char Char Char Char"/>
    <w:basedOn w:val="Normal"/>
    <w:uiPriority w:val="99"/>
    <w:rsid w:val="00791A28"/>
    <w:pPr>
      <w:spacing w:after="160" w:line="240" w:lineRule="exact"/>
      <w:jc w:val="left"/>
    </w:pPr>
    <w:rPr>
      <w:rFonts w:ascii="Verdana" w:hAnsi="Verdana"/>
      <w:lang w:val="en-US"/>
    </w:rPr>
  </w:style>
  <w:style w:type="paragraph" w:styleId="BodyTextIndent">
    <w:name w:val="Body Text Indent"/>
    <w:basedOn w:val="Normal"/>
    <w:link w:val="BodyTextIndentChar"/>
    <w:uiPriority w:val="99"/>
    <w:rsid w:val="002340C7"/>
    <w:pPr>
      <w:spacing w:after="120"/>
      <w:ind w:left="283"/>
    </w:pPr>
  </w:style>
  <w:style w:type="character" w:customStyle="1" w:styleId="BodyTextIndentChar">
    <w:name w:val="Body Text Indent Char"/>
    <w:basedOn w:val="DefaultParagraphFont"/>
    <w:link w:val="BodyTextIndent"/>
    <w:uiPriority w:val="99"/>
    <w:semiHidden/>
    <w:locked/>
    <w:rsid w:val="00F369E7"/>
    <w:rPr>
      <w:rFonts w:ascii="Arial" w:hAnsi="Arial" w:cs="Times New Roman"/>
      <w:sz w:val="20"/>
      <w:szCs w:val="20"/>
      <w:lang w:eastAsia="en-US"/>
    </w:rPr>
  </w:style>
  <w:style w:type="paragraph" w:styleId="BodyTextIndent3">
    <w:name w:val="Body Text Indent 3"/>
    <w:basedOn w:val="Normal"/>
    <w:link w:val="BodyTextIndent3Char"/>
    <w:uiPriority w:val="99"/>
    <w:rsid w:val="002340C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369E7"/>
    <w:rPr>
      <w:rFonts w:ascii="Arial" w:hAnsi="Arial" w:cs="Times New Roman"/>
      <w:sz w:val="16"/>
      <w:szCs w:val="16"/>
      <w:lang w:eastAsia="en-US"/>
    </w:rPr>
  </w:style>
  <w:style w:type="character" w:customStyle="1" w:styleId="subparatext">
    <w:name w:val="subparatext"/>
    <w:basedOn w:val="DefaultParagraphFont"/>
    <w:uiPriority w:val="99"/>
    <w:rsid w:val="003412B7"/>
    <w:rPr>
      <w:rFonts w:cs="Times New Roman"/>
    </w:rPr>
  </w:style>
  <w:style w:type="paragraph" w:customStyle="1" w:styleId="MacLevel1">
    <w:name w:val="Mac Level 1"/>
    <w:basedOn w:val="Normal"/>
    <w:next w:val="Body1"/>
    <w:qFormat/>
    <w:rsid w:val="004743D4"/>
    <w:pPr>
      <w:numPr>
        <w:ilvl w:val="1"/>
        <w:numId w:val="24"/>
      </w:numPr>
      <w:outlineLvl w:val="0"/>
    </w:pPr>
  </w:style>
  <w:style w:type="paragraph" w:customStyle="1" w:styleId="MacLevel2">
    <w:name w:val="Mac Level 2"/>
    <w:basedOn w:val="Normal"/>
    <w:next w:val="Body2"/>
    <w:link w:val="MacLevel2Char"/>
    <w:qFormat/>
    <w:rsid w:val="004743D4"/>
    <w:pPr>
      <w:numPr>
        <w:ilvl w:val="2"/>
        <w:numId w:val="24"/>
      </w:numPr>
      <w:tabs>
        <w:tab w:val="clear" w:pos="2016"/>
        <w:tab w:val="num" w:pos="864"/>
      </w:tabs>
      <w:ind w:left="864" w:hanging="864"/>
      <w:outlineLvl w:val="1"/>
    </w:pPr>
  </w:style>
  <w:style w:type="paragraph" w:customStyle="1" w:styleId="MacLevel3">
    <w:name w:val="Mac Level 3"/>
    <w:basedOn w:val="Normal"/>
    <w:next w:val="Body3"/>
    <w:qFormat/>
    <w:rsid w:val="004743D4"/>
    <w:pPr>
      <w:numPr>
        <w:ilvl w:val="3"/>
        <w:numId w:val="24"/>
      </w:numPr>
      <w:tabs>
        <w:tab w:val="clear" w:pos="3456"/>
        <w:tab w:val="num" w:pos="2016"/>
      </w:tabs>
      <w:ind w:left="2016" w:hanging="1152"/>
      <w:outlineLvl w:val="2"/>
    </w:pPr>
  </w:style>
  <w:style w:type="paragraph" w:customStyle="1" w:styleId="MacLevel4">
    <w:name w:val="Mac Level 4"/>
    <w:basedOn w:val="Normal"/>
    <w:next w:val="Body4"/>
    <w:qFormat/>
    <w:rsid w:val="004743D4"/>
    <w:pPr>
      <w:numPr>
        <w:ilvl w:val="4"/>
        <w:numId w:val="24"/>
      </w:numPr>
      <w:tabs>
        <w:tab w:val="clear" w:pos="4032"/>
        <w:tab w:val="num" w:pos="3456"/>
      </w:tabs>
      <w:ind w:left="3456" w:hanging="1440"/>
      <w:outlineLvl w:val="3"/>
    </w:pPr>
  </w:style>
  <w:style w:type="paragraph" w:customStyle="1" w:styleId="MacLevel5">
    <w:name w:val="Mac Level 5"/>
    <w:basedOn w:val="Normal"/>
    <w:next w:val="Body5"/>
    <w:qFormat/>
    <w:rsid w:val="004743D4"/>
    <w:pPr>
      <w:numPr>
        <w:ilvl w:val="5"/>
        <w:numId w:val="24"/>
      </w:numPr>
      <w:tabs>
        <w:tab w:val="clear" w:pos="4464"/>
        <w:tab w:val="num" w:pos="4032"/>
      </w:tabs>
      <w:ind w:left="4032" w:hanging="576"/>
      <w:outlineLvl w:val="4"/>
    </w:pPr>
  </w:style>
  <w:style w:type="paragraph" w:customStyle="1" w:styleId="MacLevel6">
    <w:name w:val="Mac Level 6"/>
    <w:basedOn w:val="Normal"/>
    <w:next w:val="Body6"/>
    <w:qFormat/>
    <w:rsid w:val="004743D4"/>
    <w:pPr>
      <w:numPr>
        <w:ilvl w:val="6"/>
        <w:numId w:val="24"/>
      </w:numPr>
      <w:tabs>
        <w:tab w:val="clear" w:pos="4752"/>
        <w:tab w:val="num" w:pos="4464"/>
      </w:tabs>
      <w:ind w:left="4464" w:hanging="432"/>
      <w:outlineLvl w:val="5"/>
    </w:pPr>
  </w:style>
  <w:style w:type="paragraph" w:customStyle="1" w:styleId="MacLevel7">
    <w:name w:val="Mac Level 7"/>
    <w:basedOn w:val="Normal"/>
    <w:next w:val="Body7"/>
    <w:qFormat/>
    <w:rsid w:val="004743D4"/>
    <w:pPr>
      <w:numPr>
        <w:ilvl w:val="7"/>
        <w:numId w:val="24"/>
      </w:numPr>
      <w:tabs>
        <w:tab w:val="clear" w:pos="5040"/>
        <w:tab w:val="num" w:pos="4752"/>
      </w:tabs>
      <w:ind w:left="4752"/>
      <w:outlineLvl w:val="6"/>
    </w:pPr>
  </w:style>
  <w:style w:type="paragraph" w:customStyle="1" w:styleId="MacLevel8">
    <w:name w:val="Mac Level 8"/>
    <w:basedOn w:val="Normal"/>
    <w:next w:val="Body8"/>
    <w:qFormat/>
    <w:rsid w:val="004743D4"/>
    <w:pPr>
      <w:numPr>
        <w:ilvl w:val="8"/>
        <w:numId w:val="24"/>
      </w:numPr>
      <w:tabs>
        <w:tab w:val="num" w:pos="5040"/>
      </w:tabs>
      <w:ind w:left="5040" w:hanging="288"/>
      <w:outlineLvl w:val="7"/>
    </w:pPr>
  </w:style>
  <w:style w:type="paragraph" w:customStyle="1" w:styleId="AppendixLevel1">
    <w:name w:val="Appendix Level 1"/>
    <w:basedOn w:val="Normal"/>
    <w:next w:val="Body1"/>
    <w:rsid w:val="004743D4"/>
    <w:pPr>
      <w:numPr>
        <w:ilvl w:val="1"/>
        <w:numId w:val="21"/>
      </w:numPr>
    </w:pPr>
  </w:style>
  <w:style w:type="character" w:customStyle="1" w:styleId="DeltaViewInsertion">
    <w:name w:val="DeltaView Insertion"/>
    <w:uiPriority w:val="99"/>
    <w:rsid w:val="00907230"/>
    <w:rPr>
      <w:color w:val="0000FF"/>
      <w:spacing w:val="0"/>
      <w:u w:val="double"/>
    </w:rPr>
  </w:style>
  <w:style w:type="paragraph" w:customStyle="1" w:styleId="TableContents">
    <w:name w:val="TableContents"/>
    <w:basedOn w:val="Normal"/>
    <w:uiPriority w:val="99"/>
    <w:rsid w:val="001D0B27"/>
    <w:pPr>
      <w:spacing w:line="280" w:lineRule="exact"/>
      <w:jc w:val="left"/>
    </w:pPr>
  </w:style>
  <w:style w:type="paragraph" w:customStyle="1" w:styleId="mach1">
    <w:name w:val="mach1"/>
    <w:basedOn w:val="Normal"/>
    <w:uiPriority w:val="99"/>
    <w:rsid w:val="001C4743"/>
    <w:pPr>
      <w:spacing w:before="100" w:beforeAutospacing="1" w:after="100" w:afterAutospacing="1"/>
      <w:jc w:val="left"/>
    </w:pPr>
    <w:rPr>
      <w:sz w:val="24"/>
      <w:szCs w:val="24"/>
    </w:rPr>
  </w:style>
  <w:style w:type="paragraph" w:customStyle="1" w:styleId="body10">
    <w:name w:val="body1"/>
    <w:basedOn w:val="Normal"/>
    <w:uiPriority w:val="99"/>
    <w:rsid w:val="001C4743"/>
    <w:pPr>
      <w:spacing w:before="100" w:beforeAutospacing="1" w:after="100" w:afterAutospacing="1"/>
      <w:jc w:val="left"/>
    </w:pPr>
    <w:rPr>
      <w:sz w:val="24"/>
      <w:szCs w:val="24"/>
    </w:rPr>
  </w:style>
  <w:style w:type="paragraph" w:styleId="NormalWeb">
    <w:name w:val="Normal (Web)"/>
    <w:basedOn w:val="Normal"/>
    <w:uiPriority w:val="99"/>
    <w:rsid w:val="007F0BE6"/>
    <w:pPr>
      <w:spacing w:before="100" w:beforeAutospacing="1" w:after="100" w:afterAutospacing="1"/>
      <w:jc w:val="left"/>
    </w:pPr>
    <w:rPr>
      <w:sz w:val="24"/>
      <w:szCs w:val="24"/>
    </w:rPr>
  </w:style>
  <w:style w:type="paragraph" w:customStyle="1" w:styleId="BodyTexti">
    <w:name w:val="Body Text i."/>
    <w:basedOn w:val="Heading4"/>
    <w:uiPriority w:val="99"/>
    <w:rsid w:val="00264BCA"/>
    <w:pPr>
      <w:widowControl w:val="0"/>
      <w:numPr>
        <w:numId w:val="5"/>
      </w:numPr>
      <w:tabs>
        <w:tab w:val="clear" w:pos="2880"/>
        <w:tab w:val="num" w:pos="360"/>
      </w:tabs>
      <w:spacing w:before="120"/>
      <w:ind w:left="0" w:firstLine="0"/>
    </w:pPr>
    <w:rPr>
      <w:b/>
      <w:bCs/>
      <w:sz w:val="24"/>
    </w:rPr>
  </w:style>
  <w:style w:type="paragraph" w:customStyle="1" w:styleId="NewBodyTexta">
    <w:name w:val="New Body Text a."/>
    <w:basedOn w:val="Normal"/>
    <w:uiPriority w:val="99"/>
    <w:rsid w:val="00264BCA"/>
    <w:pPr>
      <w:widowControl w:val="0"/>
      <w:numPr>
        <w:ilvl w:val="2"/>
        <w:numId w:val="5"/>
      </w:numPr>
      <w:tabs>
        <w:tab w:val="clear" w:pos="1440"/>
        <w:tab w:val="num" w:pos="360"/>
      </w:tabs>
      <w:spacing w:before="240" w:after="60"/>
      <w:ind w:left="0" w:firstLine="0"/>
      <w:outlineLvl w:val="2"/>
    </w:pPr>
    <w:rPr>
      <w:sz w:val="24"/>
      <w:lang w:val="en-US"/>
    </w:rPr>
  </w:style>
  <w:style w:type="character" w:styleId="CommentReference">
    <w:name w:val="annotation reference"/>
    <w:basedOn w:val="DefaultParagraphFont"/>
    <w:uiPriority w:val="99"/>
    <w:rsid w:val="00B36160"/>
    <w:rPr>
      <w:rFonts w:cs="Times New Roman"/>
      <w:sz w:val="16"/>
    </w:rPr>
  </w:style>
  <w:style w:type="paragraph" w:styleId="CommentText">
    <w:name w:val="annotation text"/>
    <w:basedOn w:val="Normal"/>
    <w:link w:val="CommentTextChar"/>
    <w:uiPriority w:val="99"/>
    <w:rsid w:val="00B36160"/>
  </w:style>
  <w:style w:type="character" w:customStyle="1" w:styleId="CommentTextChar">
    <w:name w:val="Comment Text Char"/>
    <w:basedOn w:val="DefaultParagraphFont"/>
    <w:link w:val="CommentText"/>
    <w:uiPriority w:val="99"/>
    <w:locked/>
    <w:rsid w:val="00B36160"/>
    <w:rPr>
      <w:rFonts w:cs="Times New Roman"/>
    </w:rPr>
  </w:style>
  <w:style w:type="paragraph" w:styleId="CommentSubject">
    <w:name w:val="annotation subject"/>
    <w:basedOn w:val="CommentText"/>
    <w:next w:val="CommentText"/>
    <w:link w:val="CommentSubjectChar"/>
    <w:uiPriority w:val="99"/>
    <w:rsid w:val="00B36160"/>
    <w:rPr>
      <w:rFonts w:ascii="Times New Roman" w:hAnsi="Times New Roman"/>
      <w:b/>
      <w:bCs/>
      <w:lang w:eastAsia="en-GB"/>
    </w:rPr>
  </w:style>
  <w:style w:type="character" w:customStyle="1" w:styleId="CommentSubjectChar">
    <w:name w:val="Comment Subject Char"/>
    <w:basedOn w:val="CommentTextChar"/>
    <w:link w:val="CommentSubject"/>
    <w:uiPriority w:val="99"/>
    <w:locked/>
    <w:rsid w:val="00B36160"/>
    <w:rPr>
      <w:rFonts w:cs="Times New Roman"/>
      <w:b/>
    </w:rPr>
  </w:style>
  <w:style w:type="character" w:customStyle="1" w:styleId="CharChar6">
    <w:name w:val="Char Char6"/>
    <w:uiPriority w:val="99"/>
    <w:semiHidden/>
    <w:locked/>
    <w:rsid w:val="00AA3E90"/>
    <w:rPr>
      <w:sz w:val="20"/>
      <w:lang w:val="en-US" w:eastAsia="en-US"/>
    </w:rPr>
  </w:style>
  <w:style w:type="paragraph" w:styleId="ListBullet2">
    <w:name w:val="List Bullet 2"/>
    <w:basedOn w:val="Normal"/>
    <w:autoRedefine/>
    <w:uiPriority w:val="99"/>
    <w:rsid w:val="008F7920"/>
    <w:pPr>
      <w:tabs>
        <w:tab w:val="num" w:pos="709"/>
      </w:tabs>
      <w:spacing w:line="264" w:lineRule="auto"/>
      <w:ind w:left="709" w:hanging="709"/>
    </w:pPr>
    <w:rPr>
      <w:kern w:val="28"/>
      <w:sz w:val="21"/>
      <w:lang w:eastAsia="zh-CN"/>
    </w:rPr>
  </w:style>
  <w:style w:type="paragraph" w:styleId="ListBullet3">
    <w:name w:val="List Bullet 3"/>
    <w:basedOn w:val="Normal"/>
    <w:autoRedefine/>
    <w:uiPriority w:val="99"/>
    <w:rsid w:val="001638BD"/>
    <w:pPr>
      <w:spacing w:line="264" w:lineRule="auto"/>
      <w:ind w:left="900" w:hanging="900"/>
    </w:pPr>
    <w:rPr>
      <w:kern w:val="28"/>
      <w:sz w:val="21"/>
      <w:lang w:eastAsia="zh-CN"/>
    </w:rPr>
  </w:style>
  <w:style w:type="paragraph" w:styleId="ListNumber">
    <w:name w:val="List Number"/>
    <w:basedOn w:val="Normal"/>
    <w:uiPriority w:val="99"/>
    <w:rsid w:val="008F7920"/>
    <w:pPr>
      <w:tabs>
        <w:tab w:val="num" w:pos="2835"/>
      </w:tabs>
      <w:spacing w:line="264" w:lineRule="auto"/>
      <w:ind w:left="2835" w:hanging="709"/>
    </w:pPr>
    <w:rPr>
      <w:kern w:val="28"/>
      <w:sz w:val="21"/>
      <w:lang w:eastAsia="zh-CN"/>
    </w:rPr>
  </w:style>
  <w:style w:type="character" w:customStyle="1" w:styleId="BoldText">
    <w:name w:val="BoldText"/>
    <w:uiPriority w:val="99"/>
    <w:rsid w:val="008F7920"/>
    <w:rPr>
      <w:b/>
    </w:rPr>
  </w:style>
  <w:style w:type="paragraph" w:customStyle="1" w:styleId="MACText">
    <w:name w:val="MAC Text"/>
    <w:basedOn w:val="Normal"/>
    <w:uiPriority w:val="99"/>
    <w:rsid w:val="004743D4"/>
    <w:pPr>
      <w:spacing w:after="0"/>
      <w:jc w:val="left"/>
    </w:pPr>
    <w:rPr>
      <w:szCs w:val="48"/>
    </w:rPr>
  </w:style>
  <w:style w:type="paragraph" w:customStyle="1" w:styleId="Body8">
    <w:name w:val="Body 8"/>
    <w:basedOn w:val="Normal"/>
    <w:uiPriority w:val="99"/>
    <w:rsid w:val="004743D4"/>
    <w:pPr>
      <w:ind w:left="5040"/>
    </w:pPr>
  </w:style>
  <w:style w:type="paragraph" w:customStyle="1" w:styleId="AppendixSubHeadingTOC">
    <w:name w:val="Appendix Sub Heading TOC"/>
    <w:basedOn w:val="Normal"/>
    <w:next w:val="Normal"/>
    <w:rsid w:val="004743D4"/>
    <w:pPr>
      <w:keepNext/>
      <w:numPr>
        <w:ilvl w:val="1"/>
        <w:numId w:val="7"/>
      </w:numPr>
      <w:jc w:val="center"/>
    </w:pPr>
    <w:rPr>
      <w:b/>
      <w:sz w:val="22"/>
    </w:rPr>
  </w:style>
  <w:style w:type="paragraph" w:customStyle="1" w:styleId="NoProofing">
    <w:name w:val="NoProofing"/>
    <w:basedOn w:val="Normal"/>
    <w:uiPriority w:val="99"/>
    <w:rsid w:val="004743D4"/>
    <w:rPr>
      <w:noProof/>
    </w:rPr>
  </w:style>
  <w:style w:type="character" w:customStyle="1" w:styleId="MacLevel1TOC">
    <w:name w:val="Mac Level 1 TOC"/>
    <w:basedOn w:val="DefaultParagraphFont"/>
    <w:uiPriority w:val="99"/>
    <w:rsid w:val="004743D4"/>
    <w:rPr>
      <w:rFonts w:ascii="Arial" w:hAnsi="Arial" w:cs="Arial"/>
      <w:b/>
      <w:sz w:val="22"/>
    </w:rPr>
  </w:style>
  <w:style w:type="character" w:customStyle="1" w:styleId="MacLevel2TOC">
    <w:name w:val="Mac Level 2 TOC"/>
    <w:basedOn w:val="DefaultParagraphFont"/>
    <w:uiPriority w:val="99"/>
    <w:rsid w:val="004743D4"/>
    <w:rPr>
      <w:rFonts w:ascii="Arial" w:hAnsi="Arial" w:cs="Times New Roman"/>
      <w:b/>
    </w:rPr>
  </w:style>
  <w:style w:type="paragraph" w:customStyle="1" w:styleId="SingleAppendixHeadingTOC">
    <w:name w:val="Single Appendix Heading TOC"/>
    <w:basedOn w:val="Normal"/>
    <w:next w:val="AppendixSubHeadingTOC"/>
    <w:uiPriority w:val="99"/>
    <w:rsid w:val="004743D4"/>
    <w:pPr>
      <w:numPr>
        <w:numId w:val="9"/>
      </w:numPr>
      <w:jc w:val="center"/>
    </w:pPr>
    <w:rPr>
      <w:b/>
      <w:caps/>
      <w:sz w:val="22"/>
    </w:rPr>
  </w:style>
  <w:style w:type="paragraph" w:customStyle="1" w:styleId="ScheduleHeadingTOC">
    <w:name w:val="Schedule Heading TOC"/>
    <w:basedOn w:val="Normal"/>
    <w:next w:val="ScheduleSubHeadingTOC"/>
    <w:uiPriority w:val="99"/>
    <w:rsid w:val="004743D4"/>
    <w:pPr>
      <w:keepNext/>
      <w:numPr>
        <w:numId w:val="23"/>
      </w:numPr>
      <w:jc w:val="center"/>
      <w:outlineLvl w:val="0"/>
    </w:pPr>
    <w:rPr>
      <w:b/>
      <w:caps/>
      <w:sz w:val="22"/>
      <w:szCs w:val="22"/>
    </w:rPr>
  </w:style>
  <w:style w:type="paragraph" w:customStyle="1" w:styleId="ScheduleHeadingPartTOC">
    <w:name w:val="Schedule Heading Part TOC"/>
    <w:basedOn w:val="Normal"/>
    <w:next w:val="ScheduleSubHeadingTOC"/>
    <w:uiPriority w:val="99"/>
    <w:rsid w:val="004743D4"/>
    <w:pPr>
      <w:keepNext/>
      <w:numPr>
        <w:ilvl w:val="1"/>
        <w:numId w:val="23"/>
      </w:numPr>
      <w:tabs>
        <w:tab w:val="clear" w:pos="864"/>
      </w:tabs>
      <w:ind w:left="0" w:firstLine="0"/>
      <w:jc w:val="center"/>
    </w:pPr>
    <w:rPr>
      <w:b/>
      <w:caps/>
      <w:sz w:val="22"/>
    </w:rPr>
  </w:style>
  <w:style w:type="paragraph" w:customStyle="1" w:styleId="ScheduleSubHeadingTOC">
    <w:name w:val="Schedule Sub Heading TOC"/>
    <w:basedOn w:val="Normal"/>
    <w:next w:val="Normal"/>
    <w:uiPriority w:val="99"/>
    <w:rsid w:val="004743D4"/>
    <w:pPr>
      <w:keepNext/>
      <w:numPr>
        <w:numId w:val="8"/>
      </w:numPr>
      <w:ind w:firstLine="0"/>
      <w:jc w:val="center"/>
    </w:pPr>
    <w:rPr>
      <w:b/>
      <w:bCs/>
      <w:sz w:val="22"/>
    </w:rPr>
  </w:style>
  <w:style w:type="character" w:customStyle="1" w:styleId="ScheduleLevel1TOC">
    <w:name w:val="Schedule Level 1 TOC"/>
    <w:basedOn w:val="DefaultParagraphFont"/>
    <w:uiPriority w:val="99"/>
    <w:rsid w:val="004743D4"/>
    <w:rPr>
      <w:rFonts w:ascii="Arial" w:hAnsi="Arial" w:cs="Times New Roman"/>
      <w:b/>
      <w:sz w:val="22"/>
    </w:rPr>
  </w:style>
  <w:style w:type="character" w:customStyle="1" w:styleId="ScheduleLevel2TOC">
    <w:name w:val="Schedule Level 2 TOC"/>
    <w:basedOn w:val="DefaultParagraphFont"/>
    <w:uiPriority w:val="99"/>
    <w:rsid w:val="004743D4"/>
    <w:rPr>
      <w:rFonts w:ascii="Arial" w:hAnsi="Arial" w:cs="Times New Roman"/>
      <w:b/>
      <w:sz w:val="20"/>
    </w:rPr>
  </w:style>
  <w:style w:type="paragraph" w:customStyle="1" w:styleId="ScheduleLevel1">
    <w:name w:val="Schedule Level 1"/>
    <w:basedOn w:val="Normal"/>
    <w:next w:val="Body1"/>
    <w:uiPriority w:val="99"/>
    <w:rsid w:val="004743D4"/>
    <w:pPr>
      <w:numPr>
        <w:ilvl w:val="2"/>
        <w:numId w:val="23"/>
      </w:numPr>
      <w:outlineLvl w:val="1"/>
    </w:pPr>
  </w:style>
  <w:style w:type="paragraph" w:customStyle="1" w:styleId="ScheduleLevel2">
    <w:name w:val="Schedule Level 2"/>
    <w:basedOn w:val="Normal"/>
    <w:next w:val="Body2"/>
    <w:uiPriority w:val="99"/>
    <w:rsid w:val="004743D4"/>
    <w:pPr>
      <w:numPr>
        <w:ilvl w:val="3"/>
        <w:numId w:val="23"/>
      </w:numPr>
      <w:outlineLvl w:val="1"/>
    </w:pPr>
  </w:style>
  <w:style w:type="paragraph" w:customStyle="1" w:styleId="NormalSingle">
    <w:name w:val="Normal Single"/>
    <w:basedOn w:val="Normal"/>
    <w:uiPriority w:val="99"/>
    <w:rsid w:val="004743D4"/>
    <w:pPr>
      <w:tabs>
        <w:tab w:val="left" w:pos="1440"/>
      </w:tabs>
    </w:pPr>
  </w:style>
  <w:style w:type="paragraph" w:customStyle="1" w:styleId="Double">
    <w:name w:val="Double"/>
    <w:basedOn w:val="Normal"/>
    <w:uiPriority w:val="99"/>
    <w:semiHidden/>
    <w:rsid w:val="004743D4"/>
    <w:pPr>
      <w:spacing w:line="480" w:lineRule="auto"/>
    </w:pPr>
  </w:style>
  <w:style w:type="paragraph" w:customStyle="1" w:styleId="MainHeading">
    <w:name w:val="Main Heading"/>
    <w:basedOn w:val="Normal"/>
    <w:next w:val="Normal"/>
    <w:link w:val="MainHeadingChar"/>
    <w:uiPriority w:val="99"/>
    <w:rsid w:val="004743D4"/>
    <w:pPr>
      <w:keepNext/>
      <w:jc w:val="left"/>
    </w:pPr>
    <w:rPr>
      <w:b/>
      <w:sz w:val="22"/>
    </w:rPr>
  </w:style>
  <w:style w:type="paragraph" w:customStyle="1" w:styleId="MainHeadingCentered">
    <w:name w:val="Main Heading (Centered)"/>
    <w:basedOn w:val="Normal"/>
    <w:next w:val="Normal"/>
    <w:uiPriority w:val="99"/>
    <w:rsid w:val="004743D4"/>
    <w:pPr>
      <w:jc w:val="center"/>
    </w:pPr>
    <w:rPr>
      <w:b/>
      <w:caps/>
      <w:sz w:val="22"/>
    </w:rPr>
  </w:style>
  <w:style w:type="paragraph" w:customStyle="1" w:styleId="OneAndAHalf">
    <w:name w:val="OneAndAHalf"/>
    <w:basedOn w:val="Normal"/>
    <w:uiPriority w:val="99"/>
    <w:semiHidden/>
    <w:rsid w:val="004743D4"/>
  </w:style>
  <w:style w:type="paragraph" w:customStyle="1" w:styleId="ScheduleLevel3">
    <w:name w:val="Schedule Level 3"/>
    <w:basedOn w:val="Normal"/>
    <w:next w:val="Body3"/>
    <w:uiPriority w:val="99"/>
    <w:rsid w:val="004743D4"/>
    <w:pPr>
      <w:numPr>
        <w:ilvl w:val="4"/>
        <w:numId w:val="23"/>
      </w:numPr>
      <w:tabs>
        <w:tab w:val="clear" w:pos="3456"/>
        <w:tab w:val="num" w:pos="2016"/>
      </w:tabs>
      <w:ind w:left="2016" w:hanging="1152"/>
      <w:outlineLvl w:val="3"/>
    </w:pPr>
    <w:rPr>
      <w:rFonts w:cs="Arial"/>
    </w:rPr>
  </w:style>
  <w:style w:type="paragraph" w:customStyle="1" w:styleId="ScheduleLevel4">
    <w:name w:val="Schedule Level 4"/>
    <w:basedOn w:val="Normal"/>
    <w:next w:val="Body4"/>
    <w:uiPriority w:val="99"/>
    <w:rsid w:val="004743D4"/>
    <w:pPr>
      <w:numPr>
        <w:ilvl w:val="5"/>
        <w:numId w:val="23"/>
      </w:numPr>
      <w:tabs>
        <w:tab w:val="clear" w:pos="4032"/>
        <w:tab w:val="num" w:pos="3456"/>
      </w:tabs>
      <w:ind w:left="3456" w:hanging="1440"/>
      <w:outlineLvl w:val="4"/>
    </w:pPr>
    <w:rPr>
      <w:rFonts w:cs="Arial"/>
    </w:rPr>
  </w:style>
  <w:style w:type="paragraph" w:customStyle="1" w:styleId="ScheduleLevel5">
    <w:name w:val="Schedule Level 5"/>
    <w:basedOn w:val="ScheduleLevel4"/>
    <w:next w:val="Body5"/>
    <w:uiPriority w:val="99"/>
    <w:rsid w:val="004743D4"/>
    <w:pPr>
      <w:numPr>
        <w:ilvl w:val="6"/>
      </w:numPr>
      <w:tabs>
        <w:tab w:val="num" w:pos="4032"/>
      </w:tabs>
      <w:ind w:left="4032" w:hanging="576"/>
      <w:outlineLvl w:val="5"/>
    </w:pPr>
  </w:style>
  <w:style w:type="paragraph" w:customStyle="1" w:styleId="MacHeadingTOC">
    <w:name w:val="Mac Heading TOC"/>
    <w:basedOn w:val="Normal"/>
    <w:next w:val="Normal"/>
    <w:uiPriority w:val="99"/>
    <w:rsid w:val="004743D4"/>
    <w:pPr>
      <w:spacing w:before="220" w:after="0"/>
      <w:jc w:val="center"/>
    </w:pPr>
    <w:rPr>
      <w:b/>
      <w:caps/>
    </w:rPr>
  </w:style>
  <w:style w:type="paragraph" w:customStyle="1" w:styleId="MacRptLevel1">
    <w:name w:val="Mac Rpt Level 1"/>
    <w:basedOn w:val="Normal"/>
    <w:uiPriority w:val="99"/>
    <w:rsid w:val="004743D4"/>
    <w:pPr>
      <w:tabs>
        <w:tab w:val="left" w:pos="1440"/>
        <w:tab w:val="right" w:pos="9000"/>
      </w:tabs>
      <w:spacing w:after="0"/>
      <w:jc w:val="left"/>
    </w:pPr>
  </w:style>
  <w:style w:type="paragraph" w:customStyle="1" w:styleId="MacRptLevel2">
    <w:name w:val="Mac Rpt Level 2"/>
    <w:basedOn w:val="Normal"/>
    <w:next w:val="MacRptLevel1"/>
    <w:uiPriority w:val="99"/>
    <w:rsid w:val="004743D4"/>
    <w:pPr>
      <w:tabs>
        <w:tab w:val="left" w:pos="2160"/>
        <w:tab w:val="right" w:pos="9000"/>
      </w:tabs>
      <w:spacing w:after="0"/>
      <w:ind w:left="1440"/>
      <w:jc w:val="left"/>
    </w:pPr>
  </w:style>
  <w:style w:type="paragraph" w:customStyle="1" w:styleId="MacSubHeadingTOC">
    <w:name w:val="Mac Sub Heading TOC"/>
    <w:basedOn w:val="Normal"/>
    <w:next w:val="MacRptLevel1"/>
    <w:uiPriority w:val="99"/>
    <w:rsid w:val="004743D4"/>
    <w:pPr>
      <w:tabs>
        <w:tab w:val="right" w:pos="9000"/>
      </w:tabs>
      <w:spacing w:before="220" w:after="0"/>
      <w:jc w:val="left"/>
    </w:pPr>
    <w:rPr>
      <w:b/>
    </w:rPr>
  </w:style>
  <w:style w:type="paragraph" w:customStyle="1" w:styleId="FirmAddress">
    <w:name w:val="FirmAddress"/>
    <w:basedOn w:val="Normal"/>
    <w:uiPriority w:val="99"/>
    <w:rsid w:val="00EC5EA3"/>
    <w:pPr>
      <w:spacing w:after="0"/>
      <w:jc w:val="center"/>
    </w:pPr>
  </w:style>
  <w:style w:type="paragraph" w:customStyle="1" w:styleId="Background">
    <w:name w:val="Background"/>
    <w:basedOn w:val="Normal"/>
    <w:uiPriority w:val="99"/>
    <w:rsid w:val="004743D4"/>
    <w:pPr>
      <w:numPr>
        <w:numId w:val="12"/>
      </w:numPr>
    </w:pPr>
  </w:style>
  <w:style w:type="paragraph" w:customStyle="1" w:styleId="BackgroundSubClause">
    <w:name w:val="Background Sub Clause"/>
    <w:basedOn w:val="Normal"/>
    <w:uiPriority w:val="99"/>
    <w:rsid w:val="004743D4"/>
    <w:pPr>
      <w:numPr>
        <w:ilvl w:val="1"/>
        <w:numId w:val="12"/>
      </w:numPr>
    </w:pPr>
  </w:style>
  <w:style w:type="paragraph" w:customStyle="1" w:styleId="AgreementHeading">
    <w:name w:val="Agreement Heading"/>
    <w:basedOn w:val="Normal"/>
    <w:uiPriority w:val="99"/>
    <w:rsid w:val="004743D4"/>
    <w:pPr>
      <w:jc w:val="center"/>
    </w:pPr>
    <w:rPr>
      <w:b/>
      <w:u w:val="single"/>
    </w:rPr>
  </w:style>
  <w:style w:type="paragraph" w:customStyle="1" w:styleId="AgreementDescription">
    <w:name w:val="Agreement Description"/>
    <w:basedOn w:val="Normal"/>
    <w:next w:val="Normal"/>
    <w:uiPriority w:val="99"/>
    <w:rsid w:val="004743D4"/>
    <w:pPr>
      <w:jc w:val="center"/>
    </w:pPr>
    <w:rPr>
      <w:b/>
    </w:rPr>
  </w:style>
  <w:style w:type="character" w:customStyle="1" w:styleId="MainHeadingChar">
    <w:name w:val="Main Heading Char"/>
    <w:basedOn w:val="DefaultParagraphFont"/>
    <w:link w:val="MainHeading"/>
    <w:uiPriority w:val="99"/>
    <w:locked/>
    <w:rsid w:val="004743D4"/>
    <w:rPr>
      <w:rFonts w:ascii="Arial" w:hAnsi="Arial" w:cs="Times New Roman"/>
      <w:b/>
      <w:sz w:val="20"/>
      <w:szCs w:val="20"/>
      <w:lang w:eastAsia="en-US"/>
    </w:rPr>
  </w:style>
  <w:style w:type="paragraph" w:customStyle="1" w:styleId="Parties">
    <w:name w:val="Parties"/>
    <w:basedOn w:val="Normal"/>
    <w:uiPriority w:val="99"/>
    <w:rsid w:val="004743D4"/>
    <w:pPr>
      <w:numPr>
        <w:numId w:val="6"/>
      </w:numPr>
    </w:pPr>
  </w:style>
  <w:style w:type="character" w:customStyle="1" w:styleId="MacLevel3TOC">
    <w:name w:val="Mac Level 3 TOC"/>
    <w:basedOn w:val="DefaultParagraphFont"/>
    <w:uiPriority w:val="99"/>
    <w:rsid w:val="004743D4"/>
    <w:rPr>
      <w:rFonts w:ascii="Arial" w:hAnsi="Arial" w:cs="Times New Roman"/>
      <w:b/>
      <w:sz w:val="20"/>
    </w:rPr>
  </w:style>
  <w:style w:type="paragraph" w:customStyle="1" w:styleId="AppendixHeadingTOC">
    <w:name w:val="Appendix Heading TOC"/>
    <w:basedOn w:val="Normal"/>
    <w:next w:val="AppendixSubHeadingTOC"/>
    <w:rsid w:val="004743D4"/>
    <w:pPr>
      <w:numPr>
        <w:numId w:val="21"/>
      </w:numPr>
      <w:tabs>
        <w:tab w:val="num" w:pos="864"/>
      </w:tabs>
      <w:ind w:left="864" w:hanging="864"/>
      <w:jc w:val="center"/>
    </w:pPr>
    <w:rPr>
      <w:b/>
      <w:caps/>
      <w:sz w:val="22"/>
    </w:rPr>
  </w:style>
  <w:style w:type="paragraph" w:customStyle="1" w:styleId="SingleScheduleHeadingTOC">
    <w:name w:val="Single Schedule Heading TOC"/>
    <w:basedOn w:val="Normal"/>
    <w:next w:val="ScheduleSubHeadingTOC"/>
    <w:uiPriority w:val="99"/>
    <w:rsid w:val="004743D4"/>
    <w:pPr>
      <w:numPr>
        <w:numId w:val="10"/>
      </w:numPr>
      <w:jc w:val="center"/>
    </w:pPr>
    <w:rPr>
      <w:b/>
      <w:caps/>
      <w:sz w:val="22"/>
    </w:rPr>
  </w:style>
  <w:style w:type="paragraph" w:customStyle="1" w:styleId="AgreementFooter">
    <w:name w:val="Agreement Footer"/>
    <w:basedOn w:val="Normal"/>
    <w:uiPriority w:val="99"/>
    <w:rsid w:val="004743D4"/>
    <w:pPr>
      <w:tabs>
        <w:tab w:val="center" w:pos="4320"/>
        <w:tab w:val="right" w:pos="8640"/>
      </w:tabs>
    </w:pPr>
    <w:rPr>
      <w:sz w:val="16"/>
    </w:rPr>
  </w:style>
  <w:style w:type="character" w:customStyle="1" w:styleId="HiddenText">
    <w:name w:val="HiddenText"/>
    <w:basedOn w:val="DefaultParagraphFont"/>
    <w:rsid w:val="004743D4"/>
    <w:rPr>
      <w:rFonts w:cs="Times New Roman"/>
      <w:color w:val="FFFFFF"/>
    </w:rPr>
  </w:style>
  <w:style w:type="paragraph" w:customStyle="1" w:styleId="PRECEDENTREFNO">
    <w:name w:val="PRECEDENT REF NO"/>
    <w:basedOn w:val="MainHeadingCentered"/>
    <w:next w:val="MainHeadingCentered"/>
    <w:uiPriority w:val="99"/>
    <w:rsid w:val="004743D4"/>
    <w:pPr>
      <w:jc w:val="right"/>
    </w:pPr>
  </w:style>
  <w:style w:type="character" w:customStyle="1" w:styleId="MacLevel2Char">
    <w:name w:val="Mac Level 2 Char"/>
    <w:link w:val="MacLevel2"/>
    <w:locked/>
    <w:rsid w:val="00041C2A"/>
    <w:rPr>
      <w:rFonts w:ascii="Arial" w:hAnsi="Arial"/>
      <w:sz w:val="20"/>
      <w:szCs w:val="20"/>
      <w:lang w:eastAsia="en-US"/>
    </w:rPr>
  </w:style>
  <w:style w:type="character" w:customStyle="1" w:styleId="Body2Char">
    <w:name w:val="Body 2 Char"/>
    <w:link w:val="Body2"/>
    <w:uiPriority w:val="99"/>
    <w:locked/>
    <w:rsid w:val="00881C46"/>
    <w:rPr>
      <w:rFonts w:ascii="Arial" w:hAnsi="Arial"/>
      <w:sz w:val="20"/>
      <w:lang w:eastAsia="en-US"/>
    </w:rPr>
  </w:style>
  <w:style w:type="character" w:customStyle="1" w:styleId="Body1Char">
    <w:name w:val="Body 1 Char"/>
    <w:link w:val="Body1"/>
    <w:uiPriority w:val="99"/>
    <w:locked/>
    <w:rsid w:val="000B05D5"/>
    <w:rPr>
      <w:rFonts w:ascii="Arial" w:hAnsi="Arial"/>
      <w:sz w:val="20"/>
      <w:lang w:eastAsia="en-US"/>
    </w:rPr>
  </w:style>
  <w:style w:type="paragraph" w:customStyle="1" w:styleId="NormalAshurst">
    <w:name w:val="NormalAshurst"/>
    <w:uiPriority w:val="99"/>
    <w:rsid w:val="003C1D84"/>
    <w:pPr>
      <w:suppressAutoHyphens/>
      <w:spacing w:after="220" w:line="264" w:lineRule="auto"/>
      <w:jc w:val="both"/>
    </w:pPr>
    <w:rPr>
      <w:rFonts w:ascii="Verdana" w:eastAsia="Microsoft JhengHei" w:hAnsi="Verdana"/>
      <w:sz w:val="18"/>
      <w:szCs w:val="20"/>
    </w:rPr>
  </w:style>
  <w:style w:type="paragraph" w:customStyle="1" w:styleId="StandardAshurst">
    <w:name w:val="StandardAshurst"/>
    <w:basedOn w:val="NormalAshurst"/>
    <w:uiPriority w:val="99"/>
    <w:rsid w:val="003C1D84"/>
    <w:pPr>
      <w:spacing w:after="0"/>
    </w:pPr>
  </w:style>
  <w:style w:type="paragraph" w:customStyle="1" w:styleId="CBOLDCAPSAshurst">
    <w:name w:val="CBOLDCAPSAshurst"/>
    <w:basedOn w:val="NormalAshurst"/>
    <w:uiPriority w:val="99"/>
    <w:rsid w:val="003C1D84"/>
    <w:pPr>
      <w:keepNext/>
      <w:jc w:val="center"/>
    </w:pPr>
    <w:rPr>
      <w:b/>
      <w:caps/>
    </w:rPr>
  </w:style>
  <w:style w:type="character" w:customStyle="1" w:styleId="CharChar1">
    <w:name w:val="Char Char1"/>
    <w:uiPriority w:val="99"/>
    <w:locked/>
    <w:rsid w:val="003666E9"/>
    <w:rPr>
      <w:rFonts w:ascii="Arial" w:hAnsi="Arial"/>
      <w:lang w:val="en-GB" w:eastAsia="en-US"/>
    </w:rPr>
  </w:style>
  <w:style w:type="paragraph" w:styleId="ListParagraph">
    <w:name w:val="List Paragraph"/>
    <w:basedOn w:val="Normal"/>
    <w:uiPriority w:val="99"/>
    <w:qFormat/>
    <w:rsid w:val="004743D4"/>
    <w:pPr>
      <w:ind w:left="720"/>
    </w:pPr>
  </w:style>
  <w:style w:type="paragraph" w:customStyle="1" w:styleId="AppendixLevel2">
    <w:name w:val="Appendix Level 2"/>
    <w:basedOn w:val="Normal"/>
    <w:next w:val="Body2"/>
    <w:rsid w:val="004743D4"/>
    <w:pPr>
      <w:numPr>
        <w:ilvl w:val="2"/>
        <w:numId w:val="21"/>
      </w:numPr>
      <w:tabs>
        <w:tab w:val="num" w:pos="2016"/>
      </w:tabs>
    </w:pPr>
  </w:style>
  <w:style w:type="paragraph" w:customStyle="1" w:styleId="AppendixLevel3">
    <w:name w:val="Appendix Level 3"/>
    <w:basedOn w:val="Normal"/>
    <w:next w:val="Body3"/>
    <w:rsid w:val="004743D4"/>
    <w:pPr>
      <w:numPr>
        <w:ilvl w:val="3"/>
        <w:numId w:val="21"/>
      </w:numPr>
      <w:tabs>
        <w:tab w:val="num" w:pos="3456"/>
      </w:tabs>
    </w:pPr>
  </w:style>
  <w:style w:type="paragraph" w:customStyle="1" w:styleId="AppendixLevel4">
    <w:name w:val="Appendix Level 4"/>
    <w:basedOn w:val="Normal"/>
    <w:next w:val="Body4"/>
    <w:rsid w:val="004743D4"/>
    <w:pPr>
      <w:numPr>
        <w:ilvl w:val="4"/>
        <w:numId w:val="21"/>
      </w:numPr>
      <w:tabs>
        <w:tab w:val="num" w:pos="4032"/>
      </w:tabs>
    </w:pPr>
  </w:style>
  <w:style w:type="paragraph" w:customStyle="1" w:styleId="AppendixLevel5">
    <w:name w:val="Appendix Level 5"/>
    <w:basedOn w:val="Normal"/>
    <w:next w:val="Body5"/>
    <w:rsid w:val="004743D4"/>
    <w:pPr>
      <w:numPr>
        <w:ilvl w:val="5"/>
        <w:numId w:val="21"/>
      </w:numPr>
      <w:tabs>
        <w:tab w:val="num" w:pos="4464"/>
      </w:tabs>
    </w:pPr>
  </w:style>
  <w:style w:type="character" w:customStyle="1" w:styleId="Underline">
    <w:name w:val="Underline"/>
    <w:basedOn w:val="DefaultParagraphFont"/>
    <w:uiPriority w:val="99"/>
    <w:rsid w:val="004743D4"/>
    <w:rPr>
      <w:rFonts w:cs="Times New Roman"/>
      <w:u w:val="single"/>
    </w:rPr>
  </w:style>
  <w:style w:type="paragraph" w:customStyle="1" w:styleId="NarrativeBullets">
    <w:name w:val="Narrative Bullets"/>
    <w:basedOn w:val="Normal"/>
    <w:uiPriority w:val="99"/>
    <w:rsid w:val="004743D4"/>
    <w:pPr>
      <w:numPr>
        <w:numId w:val="15"/>
      </w:numPr>
      <w:ind w:left="720" w:hanging="360"/>
    </w:pPr>
  </w:style>
  <w:style w:type="paragraph" w:customStyle="1" w:styleId="NarrativeNumbering">
    <w:name w:val="Narrative Numbering"/>
    <w:uiPriority w:val="99"/>
    <w:rsid w:val="004743D4"/>
    <w:pPr>
      <w:numPr>
        <w:numId w:val="16"/>
      </w:numPr>
      <w:spacing w:after="220"/>
    </w:pPr>
    <w:rPr>
      <w:rFonts w:ascii="Arial" w:hAnsi="Arial"/>
      <w:sz w:val="20"/>
      <w:szCs w:val="20"/>
      <w:lang w:eastAsia="en-US"/>
    </w:rPr>
  </w:style>
  <w:style w:type="paragraph" w:customStyle="1" w:styleId="NarrativeSUBNumbering">
    <w:name w:val="Narrative SUB Numbering"/>
    <w:basedOn w:val="Normal"/>
    <w:uiPriority w:val="99"/>
    <w:rsid w:val="004743D4"/>
    <w:pPr>
      <w:widowControl w:val="0"/>
      <w:numPr>
        <w:numId w:val="17"/>
      </w:numPr>
      <w:jc w:val="left"/>
    </w:pPr>
    <w:rPr>
      <w:szCs w:val="24"/>
    </w:rPr>
  </w:style>
  <w:style w:type="paragraph" w:customStyle="1" w:styleId="SectionHeadingTOC">
    <w:name w:val="Section Heading TOC"/>
    <w:basedOn w:val="Normal"/>
    <w:next w:val="Normal"/>
    <w:rsid w:val="004743D4"/>
    <w:pPr>
      <w:pageBreakBefore/>
      <w:numPr>
        <w:numId w:val="24"/>
      </w:numPr>
      <w:tabs>
        <w:tab w:val="clear" w:pos="864"/>
      </w:tabs>
      <w:spacing w:before="720" w:after="0"/>
      <w:ind w:left="0" w:right="720" w:firstLine="0"/>
      <w:jc w:val="center"/>
    </w:pPr>
    <w:rPr>
      <w:bCs/>
      <w:caps/>
      <w:sz w:val="32"/>
    </w:rPr>
  </w:style>
  <w:style w:type="character" w:styleId="FollowedHyperlink">
    <w:name w:val="FollowedHyperlink"/>
    <w:basedOn w:val="DefaultParagraphFont"/>
    <w:uiPriority w:val="99"/>
    <w:rsid w:val="004743D4"/>
    <w:rPr>
      <w:rFonts w:ascii="Arial" w:hAnsi="Arial" w:cs="Times New Roman"/>
      <w:color w:val="800080"/>
      <w:u w:val="single"/>
    </w:rPr>
  </w:style>
  <w:style w:type="paragraph" w:styleId="Revision">
    <w:name w:val="Revision"/>
    <w:hidden/>
    <w:uiPriority w:val="99"/>
    <w:semiHidden/>
    <w:rsid w:val="002241A6"/>
    <w:rPr>
      <w:rFonts w:ascii="Arial" w:hAnsi="Arial"/>
      <w:sz w:val="20"/>
      <w:szCs w:val="20"/>
      <w:lang w:eastAsia="en-US"/>
    </w:rPr>
  </w:style>
  <w:style w:type="paragraph" w:customStyle="1" w:styleId="MACH10">
    <w:name w:val="MACH1"/>
    <w:basedOn w:val="Normal"/>
    <w:next w:val="Body1"/>
    <w:uiPriority w:val="99"/>
    <w:rsid w:val="00B96FE3"/>
    <w:pPr>
      <w:tabs>
        <w:tab w:val="num" w:pos="864"/>
      </w:tabs>
      <w:ind w:left="864" w:hanging="864"/>
      <w:outlineLvl w:val="0"/>
    </w:pPr>
  </w:style>
  <w:style w:type="paragraph" w:customStyle="1" w:styleId="MACH2">
    <w:name w:val="MACH2"/>
    <w:basedOn w:val="Normal"/>
    <w:next w:val="Body2"/>
    <w:uiPriority w:val="99"/>
    <w:rsid w:val="00B96FE3"/>
    <w:pPr>
      <w:tabs>
        <w:tab w:val="num" w:pos="864"/>
      </w:tabs>
      <w:ind w:left="864" w:hanging="864"/>
      <w:outlineLvl w:val="1"/>
    </w:pPr>
  </w:style>
  <w:style w:type="paragraph" w:customStyle="1" w:styleId="MACH3">
    <w:name w:val="MACH3"/>
    <w:basedOn w:val="Normal"/>
    <w:next w:val="Body3"/>
    <w:uiPriority w:val="99"/>
    <w:rsid w:val="00B96FE3"/>
    <w:pPr>
      <w:tabs>
        <w:tab w:val="num" w:pos="2016"/>
      </w:tabs>
      <w:ind w:left="2016" w:hanging="1152"/>
      <w:outlineLvl w:val="2"/>
    </w:pPr>
  </w:style>
  <w:style w:type="paragraph" w:customStyle="1" w:styleId="MACH4">
    <w:name w:val="MACH4"/>
    <w:basedOn w:val="Normal"/>
    <w:next w:val="Body4"/>
    <w:uiPriority w:val="99"/>
    <w:rsid w:val="00B96FE3"/>
    <w:pPr>
      <w:tabs>
        <w:tab w:val="num" w:pos="3456"/>
      </w:tabs>
      <w:ind w:left="3456" w:hanging="1440"/>
      <w:outlineLvl w:val="3"/>
    </w:pPr>
  </w:style>
  <w:style w:type="paragraph" w:customStyle="1" w:styleId="MACH5">
    <w:name w:val="MACH5"/>
    <w:basedOn w:val="Normal"/>
    <w:next w:val="Body5"/>
    <w:uiPriority w:val="99"/>
    <w:rsid w:val="00B96FE3"/>
    <w:pPr>
      <w:tabs>
        <w:tab w:val="num" w:pos="4032"/>
      </w:tabs>
      <w:ind w:left="4032" w:hanging="576"/>
      <w:outlineLvl w:val="4"/>
    </w:pPr>
  </w:style>
  <w:style w:type="paragraph" w:customStyle="1" w:styleId="MACH6">
    <w:name w:val="MACH6"/>
    <w:basedOn w:val="Normal"/>
    <w:next w:val="Body6"/>
    <w:uiPriority w:val="99"/>
    <w:rsid w:val="00B96FE3"/>
    <w:pPr>
      <w:tabs>
        <w:tab w:val="num" w:pos="4464"/>
      </w:tabs>
      <w:ind w:left="4464" w:hanging="432"/>
      <w:outlineLvl w:val="5"/>
    </w:pPr>
  </w:style>
  <w:style w:type="paragraph" w:customStyle="1" w:styleId="MACH7">
    <w:name w:val="MACH7"/>
    <w:basedOn w:val="Normal"/>
    <w:next w:val="Body7"/>
    <w:uiPriority w:val="99"/>
    <w:rsid w:val="00B96FE3"/>
    <w:pPr>
      <w:numPr>
        <w:ilvl w:val="6"/>
        <w:numId w:val="21"/>
      </w:numPr>
      <w:tabs>
        <w:tab w:val="num" w:pos="4752"/>
      </w:tabs>
      <w:ind w:left="4752" w:hanging="288"/>
      <w:outlineLvl w:val="6"/>
    </w:pPr>
  </w:style>
  <w:style w:type="paragraph" w:customStyle="1" w:styleId="MACH8">
    <w:name w:val="MACH8"/>
    <w:basedOn w:val="Normal"/>
    <w:next w:val="Body8"/>
    <w:uiPriority w:val="99"/>
    <w:rsid w:val="00B96FE3"/>
    <w:pPr>
      <w:numPr>
        <w:ilvl w:val="7"/>
        <w:numId w:val="21"/>
      </w:numPr>
      <w:tabs>
        <w:tab w:val="num" w:pos="5040"/>
      </w:tabs>
      <w:ind w:left="5040" w:hanging="288"/>
      <w:outlineLvl w:val="7"/>
    </w:pPr>
  </w:style>
  <w:style w:type="paragraph" w:customStyle="1" w:styleId="APPENDIXSubHeading">
    <w:name w:val="APPENDIX Sub Heading"/>
    <w:basedOn w:val="Normal"/>
    <w:next w:val="Normal"/>
    <w:uiPriority w:val="99"/>
    <w:rsid w:val="00B96FE3"/>
    <w:pPr>
      <w:keepNext/>
      <w:jc w:val="center"/>
    </w:pPr>
    <w:rPr>
      <w:b/>
      <w:sz w:val="22"/>
    </w:rPr>
  </w:style>
  <w:style w:type="paragraph" w:customStyle="1" w:styleId="APPENDIXHeading">
    <w:name w:val="APPENDIX Heading"/>
    <w:basedOn w:val="Normal"/>
    <w:next w:val="APPENDIXSubHeading"/>
    <w:uiPriority w:val="99"/>
    <w:rsid w:val="00B96FE3"/>
    <w:pPr>
      <w:ind w:left="86"/>
      <w:jc w:val="center"/>
    </w:pPr>
    <w:rPr>
      <w:b/>
      <w:caps/>
      <w:sz w:val="22"/>
    </w:rPr>
  </w:style>
  <w:style w:type="numbering" w:customStyle="1" w:styleId="AppendixLevelsCustomListStyle">
    <w:name w:val="AppendixLevelsCustomListStyle"/>
    <w:uiPriority w:val="99"/>
    <w:rsid w:val="008365E8"/>
    <w:pPr>
      <w:numPr>
        <w:numId w:val="25"/>
      </w:numPr>
    </w:pPr>
  </w:style>
  <w:style w:type="numbering" w:customStyle="1" w:styleId="AppendixLevel1Style">
    <w:name w:val="Appendix Level 1 Style"/>
    <w:rsid w:val="008365E8"/>
    <w:pPr>
      <w:numPr>
        <w:numId w:val="13"/>
      </w:numPr>
    </w:pPr>
  </w:style>
  <w:style w:type="numbering" w:customStyle="1" w:styleId="MACBullets">
    <w:name w:val="MACBullets"/>
    <w:rsid w:val="008365E8"/>
    <w:pPr>
      <w:numPr>
        <w:numId w:val="11"/>
      </w:numPr>
    </w:pPr>
  </w:style>
  <w:style w:type="numbering" w:customStyle="1" w:styleId="MacLevelsCustomListStyle">
    <w:name w:val="MacLevelsCustomListStyle"/>
    <w:rsid w:val="008365E8"/>
    <w:pPr>
      <w:numPr>
        <w:numId w:val="18"/>
      </w:numPr>
    </w:pPr>
  </w:style>
  <w:style w:type="numbering" w:customStyle="1" w:styleId="ScheduleLevelsCustomListStyle">
    <w:name w:val="ScheduleLevelsCustomListStyle"/>
    <w:rsid w:val="008365E8"/>
    <w:pPr>
      <w:numPr>
        <w:numId w:val="19"/>
      </w:numPr>
    </w:pPr>
  </w:style>
  <w:style w:type="paragraph" w:customStyle="1" w:styleId="Default">
    <w:name w:val="Default"/>
    <w:rsid w:val="004064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8472">
      <w:bodyDiv w:val="1"/>
      <w:marLeft w:val="0"/>
      <w:marRight w:val="0"/>
      <w:marTop w:val="0"/>
      <w:marBottom w:val="0"/>
      <w:divBdr>
        <w:top w:val="none" w:sz="0" w:space="0" w:color="auto"/>
        <w:left w:val="none" w:sz="0" w:space="0" w:color="auto"/>
        <w:bottom w:val="none" w:sz="0" w:space="0" w:color="auto"/>
        <w:right w:val="none" w:sz="0" w:space="0" w:color="auto"/>
      </w:divBdr>
    </w:div>
    <w:div w:id="1389650977">
      <w:marLeft w:val="0"/>
      <w:marRight w:val="0"/>
      <w:marTop w:val="0"/>
      <w:marBottom w:val="0"/>
      <w:divBdr>
        <w:top w:val="none" w:sz="0" w:space="0" w:color="auto"/>
        <w:left w:val="none" w:sz="0" w:space="0" w:color="auto"/>
        <w:bottom w:val="none" w:sz="0" w:space="0" w:color="auto"/>
        <w:right w:val="none" w:sz="0" w:space="0" w:color="auto"/>
      </w:divBdr>
      <w:divsChild>
        <w:div w:id="1389650984">
          <w:marLeft w:val="0"/>
          <w:marRight w:val="0"/>
          <w:marTop w:val="0"/>
          <w:marBottom w:val="0"/>
          <w:divBdr>
            <w:top w:val="none" w:sz="0" w:space="0" w:color="auto"/>
            <w:left w:val="none" w:sz="0" w:space="0" w:color="auto"/>
            <w:bottom w:val="none" w:sz="0" w:space="0" w:color="auto"/>
            <w:right w:val="none" w:sz="0" w:space="0" w:color="auto"/>
          </w:divBdr>
        </w:div>
      </w:divsChild>
    </w:div>
    <w:div w:id="1389650978">
      <w:marLeft w:val="0"/>
      <w:marRight w:val="0"/>
      <w:marTop w:val="0"/>
      <w:marBottom w:val="0"/>
      <w:divBdr>
        <w:top w:val="none" w:sz="0" w:space="0" w:color="auto"/>
        <w:left w:val="none" w:sz="0" w:space="0" w:color="auto"/>
        <w:bottom w:val="none" w:sz="0" w:space="0" w:color="auto"/>
        <w:right w:val="none" w:sz="0" w:space="0" w:color="auto"/>
      </w:divBdr>
      <w:divsChild>
        <w:div w:id="1389650990">
          <w:marLeft w:val="0"/>
          <w:marRight w:val="0"/>
          <w:marTop w:val="0"/>
          <w:marBottom w:val="0"/>
          <w:divBdr>
            <w:top w:val="none" w:sz="0" w:space="0" w:color="auto"/>
            <w:left w:val="none" w:sz="0" w:space="0" w:color="auto"/>
            <w:bottom w:val="none" w:sz="0" w:space="0" w:color="auto"/>
            <w:right w:val="none" w:sz="0" w:space="0" w:color="auto"/>
          </w:divBdr>
        </w:div>
      </w:divsChild>
    </w:div>
    <w:div w:id="1389650981">
      <w:marLeft w:val="0"/>
      <w:marRight w:val="0"/>
      <w:marTop w:val="0"/>
      <w:marBottom w:val="0"/>
      <w:divBdr>
        <w:top w:val="none" w:sz="0" w:space="0" w:color="auto"/>
        <w:left w:val="none" w:sz="0" w:space="0" w:color="auto"/>
        <w:bottom w:val="none" w:sz="0" w:space="0" w:color="auto"/>
        <w:right w:val="none" w:sz="0" w:space="0" w:color="auto"/>
      </w:divBdr>
      <w:divsChild>
        <w:div w:id="1389650980">
          <w:marLeft w:val="0"/>
          <w:marRight w:val="0"/>
          <w:marTop w:val="0"/>
          <w:marBottom w:val="0"/>
          <w:divBdr>
            <w:top w:val="none" w:sz="0" w:space="0" w:color="auto"/>
            <w:left w:val="none" w:sz="0" w:space="0" w:color="auto"/>
            <w:bottom w:val="none" w:sz="0" w:space="0" w:color="auto"/>
            <w:right w:val="none" w:sz="0" w:space="0" w:color="auto"/>
          </w:divBdr>
        </w:div>
      </w:divsChild>
    </w:div>
    <w:div w:id="1389650983">
      <w:marLeft w:val="0"/>
      <w:marRight w:val="0"/>
      <w:marTop w:val="0"/>
      <w:marBottom w:val="0"/>
      <w:divBdr>
        <w:top w:val="none" w:sz="0" w:space="0" w:color="auto"/>
        <w:left w:val="none" w:sz="0" w:space="0" w:color="auto"/>
        <w:bottom w:val="none" w:sz="0" w:space="0" w:color="auto"/>
        <w:right w:val="none" w:sz="0" w:space="0" w:color="auto"/>
      </w:divBdr>
      <w:divsChild>
        <w:div w:id="1389650987">
          <w:marLeft w:val="4350"/>
          <w:marRight w:val="0"/>
          <w:marTop w:val="825"/>
          <w:marBottom w:val="0"/>
          <w:divBdr>
            <w:top w:val="none" w:sz="0" w:space="0" w:color="auto"/>
            <w:left w:val="single" w:sz="6" w:space="15" w:color="000000"/>
            <w:bottom w:val="none" w:sz="0" w:space="0" w:color="auto"/>
            <w:right w:val="none" w:sz="0" w:space="0" w:color="auto"/>
          </w:divBdr>
        </w:div>
      </w:divsChild>
    </w:div>
    <w:div w:id="1389650985">
      <w:marLeft w:val="0"/>
      <w:marRight w:val="0"/>
      <w:marTop w:val="0"/>
      <w:marBottom w:val="0"/>
      <w:divBdr>
        <w:top w:val="none" w:sz="0" w:space="0" w:color="auto"/>
        <w:left w:val="none" w:sz="0" w:space="0" w:color="auto"/>
        <w:bottom w:val="none" w:sz="0" w:space="0" w:color="auto"/>
        <w:right w:val="none" w:sz="0" w:space="0" w:color="auto"/>
      </w:divBdr>
    </w:div>
    <w:div w:id="1389650988">
      <w:marLeft w:val="0"/>
      <w:marRight w:val="0"/>
      <w:marTop w:val="0"/>
      <w:marBottom w:val="0"/>
      <w:divBdr>
        <w:top w:val="none" w:sz="0" w:space="0" w:color="auto"/>
        <w:left w:val="none" w:sz="0" w:space="0" w:color="auto"/>
        <w:bottom w:val="none" w:sz="0" w:space="0" w:color="auto"/>
        <w:right w:val="none" w:sz="0" w:space="0" w:color="auto"/>
      </w:divBdr>
      <w:divsChild>
        <w:div w:id="1389650979">
          <w:marLeft w:val="0"/>
          <w:marRight w:val="0"/>
          <w:marTop w:val="0"/>
          <w:marBottom w:val="0"/>
          <w:divBdr>
            <w:top w:val="none" w:sz="0" w:space="0" w:color="auto"/>
            <w:left w:val="none" w:sz="0" w:space="0" w:color="auto"/>
            <w:bottom w:val="none" w:sz="0" w:space="0" w:color="auto"/>
            <w:right w:val="none" w:sz="0" w:space="0" w:color="auto"/>
          </w:divBdr>
        </w:div>
      </w:divsChild>
    </w:div>
    <w:div w:id="1389650989">
      <w:marLeft w:val="0"/>
      <w:marRight w:val="0"/>
      <w:marTop w:val="0"/>
      <w:marBottom w:val="0"/>
      <w:divBdr>
        <w:top w:val="none" w:sz="0" w:space="0" w:color="auto"/>
        <w:left w:val="none" w:sz="0" w:space="0" w:color="auto"/>
        <w:bottom w:val="none" w:sz="0" w:space="0" w:color="auto"/>
        <w:right w:val="none" w:sz="0" w:space="0" w:color="auto"/>
      </w:divBdr>
      <w:divsChild>
        <w:div w:id="1389650982">
          <w:marLeft w:val="0"/>
          <w:marRight w:val="0"/>
          <w:marTop w:val="0"/>
          <w:marBottom w:val="0"/>
          <w:divBdr>
            <w:top w:val="none" w:sz="0" w:space="0" w:color="auto"/>
            <w:left w:val="none" w:sz="0" w:space="0" w:color="auto"/>
            <w:bottom w:val="none" w:sz="0" w:space="0" w:color="auto"/>
            <w:right w:val="none" w:sz="0" w:space="0" w:color="auto"/>
          </w:divBdr>
        </w:div>
        <w:div w:id="138965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acfarlanes\G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0385-61A7-48D7-93E0-3565D2BF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 1</Template>
  <TotalTime>0</TotalTime>
  <Pages>28</Pages>
  <Words>9429</Words>
  <Characters>53749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LON_LIB1\11320539\3</vt:lpstr>
    </vt:vector>
  </TitlesOfParts>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LON_LIB1\11320539\3</dc:title>
  <dc:creator/>
  <cp:lastModifiedBy/>
  <cp:revision>1</cp:revision>
  <dcterms:created xsi:type="dcterms:W3CDTF">2014-11-24T10:35:00Z</dcterms:created>
  <dcterms:modified xsi:type="dcterms:W3CDTF">2014-11-24T10:35:00Z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DOCNAME">
    <vt:lpwstr>Project Philadelphia Merger Circular - 5 November 2014</vt:lpwstr>
  </property>
  <property fmtid="{D5CDD505-2E9C-101B-9397-08002B2CF9AE}" pid="3" name="DMSLink.DOCNUMBER">
    <vt:lpwstr>30421449</vt:lpwstr>
  </property>
  <property fmtid="{D5CDD505-2E9C-101B-9397-08002B2CF9AE}" pid="4" name="DMSLink.VERSION">
    <vt:lpwstr>5</vt:lpwstr>
  </property>
  <property fmtid="{D5CDD505-2E9C-101B-9397-08002B2CF9AE}" pid="5" name="DMSLink.TYPIST.USER_ID">
    <vt:lpwstr>AXCC</vt:lpwstr>
  </property>
  <property fmtid="{D5CDD505-2E9C-101B-9397-08002B2CF9AE}" pid="6" name="DMSLink.TYPIST.FULL_NAME">
    <vt:lpwstr>Cochrane, Alexandra (AXCC)</vt:lpwstr>
  </property>
  <property fmtid="{D5CDD505-2E9C-101B-9397-08002B2CF9AE}" pid="7" name="DMSLink.AUTHOR.USER_ID">
    <vt:lpwstr>LCJF</vt:lpwstr>
  </property>
  <property fmtid="{D5CDD505-2E9C-101B-9397-08002B2CF9AE}" pid="8" name="DMSLink.AUTHOR.FULL_NAME">
    <vt:lpwstr>Froud, Lora (LCJF)</vt:lpwstr>
  </property>
  <property fmtid="{D5CDD505-2E9C-101B-9397-08002B2CF9AE}" pid="9" name="DMSLink.CLIENT_ID.CLIENT_ID">
    <vt:lpwstr>030140</vt:lpwstr>
  </property>
  <property fmtid="{D5CDD505-2E9C-101B-9397-08002B2CF9AE}" pid="10" name="DMSLink.CLIENT_ID.CLIENT_NAME">
    <vt:lpwstr>OLD MUTUAL INVESTMENT MANAGEMENT LIMITED</vt:lpwstr>
  </property>
  <property fmtid="{D5CDD505-2E9C-101B-9397-08002B2CF9AE}" pid="11" name="DMSLink.MATTER.MATTER_ID">
    <vt:lpwstr>638404</vt:lpwstr>
  </property>
  <property fmtid="{D5CDD505-2E9C-101B-9397-08002B2CF9AE}" pid="12" name="DMSLink.MATTER.MATTER_NAME">
    <vt:lpwstr>PHILADELPHIA (ARIZONA) (NFI)</vt:lpwstr>
  </property>
  <property fmtid="{D5CDD505-2E9C-101B-9397-08002B2CF9AE}" pid="13" name="DMSLink.Reference">
    <vt:lpwstr>30421449.5</vt:lpwstr>
  </property>
  <property fmtid="{D5CDD505-2E9C-101B-9397-08002B2CF9AE}" pid="14" name="DMSLink.DOCUMENTTYPE.TYPE_ID">
    <vt:lpwstr>GEN</vt:lpwstr>
  </property>
  <property fmtid="{D5CDD505-2E9C-101B-9397-08002B2CF9AE}" pid="15" name="DMSLink.DOCUMENTTYPE.DESCRIPTION">
    <vt:lpwstr>General Document</vt:lpwstr>
  </property>
  <property fmtid="{D5CDD505-2E9C-101B-9397-08002B2CF9AE}" pid="16" name="DMSLink.LIBRARY">
    <vt:lpwstr>LIVE_LIB</vt:lpwstr>
  </property>
  <property fmtid="{D5CDD505-2E9C-101B-9397-08002B2CF9AE}" pid="17" name="DMSLink.APPLICATION">
    <vt:lpwstr>WORDX</vt:lpwstr>
  </property>
  <property fmtid="{D5CDD505-2E9C-101B-9397-08002B2CF9AE}" pid="18" name="DMSLink.APPLICATION_DESC">
    <vt:lpwstr>Microsoft Word 2010</vt:lpwstr>
  </property>
  <property fmtid="{D5CDD505-2E9C-101B-9397-08002B2CF9AE}" pid="19" name="Draft">
    <vt:lpwstr/>
  </property>
  <property fmtid="{D5CDD505-2E9C-101B-9397-08002B2CF9AE}" pid="20" name="ClientID">
    <vt:lpwstr>NEW</vt:lpwstr>
  </property>
  <property fmtid="{D5CDD505-2E9C-101B-9397-08002B2CF9AE}" pid="21" name="MatterID">
    <vt:lpwstr>NEW</vt:lpwstr>
  </property>
  <property fmtid="{D5CDD505-2E9C-101B-9397-08002B2CF9AE}" pid="22" name="_SIProp12DataClass+3c061b4c-9313-485b-a367-01b135411931">
    <vt:lpwstr>v=1.2&gt;I=3c061b4c-9313-485b-a367-01b135411931&amp;N=Confidential&amp;V=1.2&amp;U=System&amp;C=&amp;A=ASSOCIATED</vt:lpwstr>
  </property>
  <property fmtid="{D5CDD505-2E9C-101B-9397-08002B2CF9AE}" pid="23" name="Classification">
    <vt:lpwstr>Confidential</vt:lpwstr>
  </property>
</Properties>
</file>